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254C" w:rsidRPr="00DD5B40" w:rsidRDefault="00ED254C" w:rsidP="00ED254C">
      <w:pPr>
        <w:tabs>
          <w:tab w:val="center" w:pos="4677"/>
        </w:tabs>
        <w:spacing w:after="0" w:line="192" w:lineRule="auto"/>
        <w:ind w:left="-1276"/>
        <w:jc w:val="right"/>
        <w:rPr>
          <w:rFonts w:ascii="Times New Roman" w:eastAsia="MS Mincho" w:hAnsi="Times New Roman" w:cs="Times New Roman"/>
          <w:b/>
          <w:sz w:val="26"/>
          <w:szCs w:val="26"/>
          <w:lang w:eastAsia="ru-RU"/>
        </w:rPr>
      </w:pPr>
      <w:r w:rsidRPr="00DD5B40">
        <w:rPr>
          <w:rFonts w:ascii="Cambria" w:eastAsia="MS Mincho" w:hAnsi="Cambria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F97AFE4" wp14:editId="2943BEB5">
            <wp:simplePos x="0" y="0"/>
            <wp:positionH relativeFrom="column">
              <wp:posOffset>24765</wp:posOffset>
            </wp:positionH>
            <wp:positionV relativeFrom="paragraph">
              <wp:posOffset>-5715</wp:posOffset>
            </wp:positionV>
            <wp:extent cx="2210435" cy="712470"/>
            <wp:effectExtent l="0" t="0" r="0" b="0"/>
            <wp:wrapNone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B40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 xml:space="preserve">             </w:t>
      </w:r>
      <w:r w:rsidRPr="00DD5B40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Адвокатское бюро г. Москвы</w:t>
      </w:r>
    </w:p>
    <w:p w:rsidR="00ED254C" w:rsidRPr="00DD5B40" w:rsidRDefault="00ED254C" w:rsidP="00ED254C">
      <w:pPr>
        <w:tabs>
          <w:tab w:val="center" w:pos="4677"/>
        </w:tabs>
        <w:spacing w:after="0" w:line="192" w:lineRule="auto"/>
        <w:ind w:left="-1276"/>
        <w:jc w:val="right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DD5B40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 xml:space="preserve"> «Москоу лигал»</w:t>
      </w:r>
      <w:r w:rsidRPr="00DD5B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D254C" w:rsidRPr="00DD5B40" w:rsidRDefault="00ED254C" w:rsidP="00ED254C">
      <w:pPr>
        <w:tabs>
          <w:tab w:val="left" w:pos="19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B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D5B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F2301" w:rsidRPr="00DD5B40">
        <w:rPr>
          <w:rFonts w:ascii="Times New Roman" w:eastAsia="Times New Roman" w:hAnsi="Times New Roman" w:cs="Times New Roman"/>
          <w:sz w:val="26"/>
          <w:szCs w:val="26"/>
          <w:lang w:eastAsia="ru-RU"/>
        </w:rPr>
        <w:t>129626, г. Москва, Проспект мира д. 102, стр.30</w:t>
      </w:r>
    </w:p>
    <w:p w:rsidR="00ED254C" w:rsidRPr="00DD5B40" w:rsidRDefault="00ED254C" w:rsidP="00ED254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D5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</w:t>
      </w:r>
      <w:r w:rsidRPr="00DD5B4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.: 8(495)664-55-96, 8(925)664-55-76</w:t>
      </w:r>
    </w:p>
    <w:p w:rsidR="00ED254C" w:rsidRPr="00DD5B40" w:rsidRDefault="00ED254C" w:rsidP="00ED254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D5B4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msk-legal.ru</w:t>
      </w:r>
      <w:r w:rsidRPr="00DD5B40">
        <w:rPr>
          <w:rFonts w:ascii="Times New Roman" w:eastAsia="MS Mincho" w:hAnsi="Times New Roman" w:cs="Times New Roman"/>
          <w:sz w:val="26"/>
          <w:szCs w:val="26"/>
          <w:lang w:val="en-US" w:eastAsia="ru-RU"/>
        </w:rPr>
        <w:t xml:space="preserve"> </w:t>
      </w:r>
      <w:hyperlink r:id="rId9" w:history="1">
        <w:r w:rsidRPr="00DD5B4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info@msk-legal.ru</w:t>
        </w:r>
      </w:hyperlink>
    </w:p>
    <w:p w:rsidR="00ED254C" w:rsidRPr="00DD5B40" w:rsidRDefault="00CC6C24" w:rsidP="00ED254C">
      <w:pPr>
        <w:tabs>
          <w:tab w:val="left" w:pos="2123"/>
          <w:tab w:val="left" w:pos="3402"/>
          <w:tab w:val="center" w:pos="4039"/>
          <w:tab w:val="center" w:pos="4677"/>
          <w:tab w:val="right" w:pos="9355"/>
        </w:tabs>
        <w:spacing w:after="0" w:line="192" w:lineRule="auto"/>
        <w:rPr>
          <w:rFonts w:ascii="Calibri" w:eastAsia="Times New Roman" w:hAnsi="Calibri" w:cs="Times New Roman"/>
          <w:sz w:val="26"/>
          <w:szCs w:val="26"/>
          <w:lang w:val="en-US" w:eastAsia="ru-RU"/>
        </w:rPr>
      </w:pPr>
      <w:r>
        <w:rPr>
          <w:rFonts w:ascii="Times New Roman" w:eastAsia="MS Mincho" w:hAnsi="Times New Roman" w:cs="Times New Roman"/>
          <w:b/>
          <w:noProof/>
          <w:sz w:val="26"/>
          <w:szCs w:val="26"/>
          <w:lang w:eastAsia="ru-RU"/>
        </w:rPr>
        <w:pict>
          <v:rect id="_x0000_i1025" alt="" style="width:467.75pt;height:1.5pt;mso-width-percent:0;mso-height-percent:0;mso-width-percent:0;mso-height-percent:0" o:hralign="center" o:hrstd="t" o:hr="t" fillcolor="#a0a0a0" stroked="f"/>
        </w:pict>
      </w:r>
    </w:p>
    <w:p w:rsidR="00CF5185" w:rsidRPr="003430A5" w:rsidRDefault="00CF5185" w:rsidP="00CF5185">
      <w:pPr>
        <w:tabs>
          <w:tab w:val="left" w:pos="2977"/>
        </w:tabs>
        <w:spacing w:after="0"/>
        <w:ind w:left="2977" w:hanging="709"/>
        <w:jc w:val="right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 w:rsidRPr="003430A5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В </w:t>
      </w:r>
      <w:r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Межведомственную комиссию Центрально Банка РФ</w:t>
      </w:r>
    </w:p>
    <w:p w:rsidR="00CF5185" w:rsidRDefault="00CF5185" w:rsidP="00CF5185">
      <w:pPr>
        <w:tabs>
          <w:tab w:val="left" w:pos="2977"/>
        </w:tabs>
        <w:spacing w:after="0"/>
        <w:ind w:left="2977" w:hanging="709"/>
        <w:jc w:val="right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557C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107016, город Москва, Неглинная ул., д.12</w:t>
      </w:r>
    </w:p>
    <w:p w:rsidR="00CF5185" w:rsidRPr="003430A5" w:rsidRDefault="00CF5185" w:rsidP="00CF5185">
      <w:pPr>
        <w:tabs>
          <w:tab w:val="left" w:pos="2977"/>
        </w:tabs>
        <w:spacing w:after="0"/>
        <w:ind w:left="2977" w:hanging="709"/>
        <w:jc w:val="right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CF5185" w:rsidRPr="00C557CA" w:rsidRDefault="00CF5185" w:rsidP="00CF5185">
      <w:pPr>
        <w:tabs>
          <w:tab w:val="left" w:pos="2977"/>
        </w:tabs>
        <w:spacing w:after="0" w:line="240" w:lineRule="auto"/>
        <w:ind w:right="-15" w:hanging="709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30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представителя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ФИО-1</w:t>
      </w:r>
      <w:r w:rsidRPr="003430A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F5185" w:rsidRPr="003430A5" w:rsidRDefault="00CF5185" w:rsidP="00CF5185">
      <w:pPr>
        <w:tabs>
          <w:tab w:val="left" w:pos="2977"/>
        </w:tabs>
        <w:spacing w:after="0" w:line="240" w:lineRule="auto"/>
        <w:ind w:right="-15" w:hanging="709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557C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Будкевича</w:t>
      </w:r>
      <w:proofErr w:type="spellEnd"/>
      <w:r w:rsidRPr="00C557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Артура Станиславовича</w:t>
      </w:r>
    </w:p>
    <w:p w:rsidR="00CF5185" w:rsidRPr="003430A5" w:rsidRDefault="00CF5185" w:rsidP="00CF5185">
      <w:pPr>
        <w:tabs>
          <w:tab w:val="left" w:pos="2977"/>
        </w:tabs>
        <w:spacing w:after="0" w:line="240" w:lineRule="auto"/>
        <w:ind w:right="-15" w:hanging="709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36057199"/>
      <w:r w:rsidRPr="00C557CA">
        <w:rPr>
          <w:rFonts w:ascii="Times New Roman" w:eastAsia="Times New Roman" w:hAnsi="Times New Roman" w:cs="Times New Roman"/>
          <w:sz w:val="26"/>
          <w:szCs w:val="26"/>
          <w:lang w:eastAsia="ru-RU"/>
        </w:rPr>
        <w:t>129626, г. Москва, Проспект мира д. 102, стр.30 </w:t>
      </w:r>
    </w:p>
    <w:bookmarkEnd w:id="0"/>
    <w:p w:rsidR="00CF5185" w:rsidRPr="003430A5" w:rsidRDefault="00CF5185" w:rsidP="00CF5185">
      <w:pPr>
        <w:tabs>
          <w:tab w:val="left" w:pos="2977"/>
        </w:tabs>
        <w:spacing w:after="0" w:line="240" w:lineRule="auto"/>
        <w:ind w:right="-15" w:hanging="709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7CA">
        <w:rPr>
          <w:rFonts w:ascii="Times New Roman" w:eastAsia="Times New Roman" w:hAnsi="Times New Roman" w:cs="Times New Roman"/>
          <w:sz w:val="26"/>
          <w:szCs w:val="26"/>
          <w:lang w:eastAsia="ru-RU"/>
        </w:rPr>
        <w:t>БЦ «Парк мира» </w:t>
      </w:r>
    </w:p>
    <w:p w:rsidR="00CF5185" w:rsidRPr="003430A5" w:rsidRDefault="00CF5185" w:rsidP="00CF5185">
      <w:pPr>
        <w:tabs>
          <w:tab w:val="left" w:pos="2977"/>
        </w:tabs>
        <w:spacing w:after="0" w:line="240" w:lineRule="auto"/>
        <w:ind w:right="-15" w:hanging="709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7C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Адвокатское бюро г. Москвы «Москоу лигал» </w:t>
      </w:r>
    </w:p>
    <w:p w:rsidR="00CF5185" w:rsidRDefault="00CF5185" w:rsidP="00CF5185">
      <w:pPr>
        <w:tabs>
          <w:tab w:val="left" w:pos="2977"/>
        </w:tabs>
        <w:spacing w:after="0" w:line="240" w:lineRule="auto"/>
        <w:ind w:right="-15" w:hanging="709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7C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тел.: 8 (495)664-5596</w:t>
      </w:r>
    </w:p>
    <w:p w:rsidR="00CF5185" w:rsidRPr="00C557CA" w:rsidRDefault="00CF5185" w:rsidP="00CF5185">
      <w:pPr>
        <w:tabs>
          <w:tab w:val="left" w:pos="2977"/>
        </w:tabs>
        <w:spacing w:after="0" w:line="240" w:lineRule="auto"/>
        <w:ind w:right="-15" w:hanging="709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7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F5185" w:rsidRDefault="00CF5185" w:rsidP="00CF5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ЖАЛОБА</w:t>
      </w:r>
    </w:p>
    <w:p w:rsidR="00CF5185" w:rsidRPr="003430A5" w:rsidRDefault="00CF5185" w:rsidP="00CF5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на отказ АО «Тинькофф банк»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в дистанционном обслуживании счета клиента</w:t>
      </w:r>
    </w:p>
    <w:p w:rsidR="00CF5185" w:rsidRPr="003430A5" w:rsidRDefault="00CF5185" w:rsidP="00CF5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5185" w:rsidRPr="003430A5" w:rsidRDefault="00CF5185" w:rsidP="00CF5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ФИО-1</w:t>
      </w:r>
      <w:r w:rsidRPr="003430A5">
        <w:rPr>
          <w:rFonts w:ascii="Times New Roman" w:eastAsia="Calibri" w:hAnsi="Times New Roman" w:cs="Times New Roman"/>
          <w:sz w:val="26"/>
          <w:szCs w:val="26"/>
        </w:rPr>
        <w:t xml:space="preserve"> (далее – «Клиент») в АО «ТИНЬКОФ БАНК» (далее – «Банк») открыт счет </w:t>
      </w:r>
      <w:r>
        <w:rPr>
          <w:rFonts w:ascii="Times New Roman" w:eastAsia="Calibri" w:hAnsi="Times New Roman" w:cs="Times New Roman"/>
          <w:sz w:val="26"/>
          <w:szCs w:val="26"/>
        </w:rPr>
        <w:t>000000000000000000000</w:t>
      </w:r>
      <w:r w:rsidRPr="003430A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F5185" w:rsidRPr="003430A5" w:rsidRDefault="00CF5185" w:rsidP="00CF5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0A5">
        <w:rPr>
          <w:rFonts w:ascii="Times New Roman" w:eastAsia="Calibri" w:hAnsi="Times New Roman" w:cs="Times New Roman"/>
          <w:sz w:val="26"/>
          <w:szCs w:val="26"/>
        </w:rPr>
        <w:t>09.06.2022 в чате приложения «Тинькофф банк» от службы поддержки Клиенту поступило сообщение о необходимости уточнения по некоторым банковским операциям Клиента в рамках 115-ФЗ. Служба поддержки указала список документов, которые просит представить, а именно:</w:t>
      </w:r>
    </w:p>
    <w:p w:rsidR="00CF5185" w:rsidRPr="003430A5" w:rsidRDefault="00CF5185" w:rsidP="00CF5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0A5">
        <w:rPr>
          <w:rFonts w:ascii="Times New Roman" w:eastAsia="Calibri" w:hAnsi="Times New Roman" w:cs="Times New Roman"/>
          <w:sz w:val="26"/>
          <w:szCs w:val="26"/>
        </w:rPr>
        <w:t xml:space="preserve">1. Документы, обосновывающие поступления и списания денег от/к третьим лицам </w:t>
      </w:r>
      <w:r w:rsidRPr="003430A5">
        <w:rPr>
          <w:rFonts w:ascii="Times New Roman" w:eastAsia="Calibri" w:hAnsi="Times New Roman" w:cs="Times New Roman"/>
          <w:b/>
          <w:sz w:val="26"/>
          <w:szCs w:val="26"/>
        </w:rPr>
        <w:t>за последние три месяца</w:t>
      </w:r>
      <w:r w:rsidRPr="003430A5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CF5185" w:rsidRPr="003430A5" w:rsidRDefault="00CF5185" w:rsidP="00CF5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0A5">
        <w:rPr>
          <w:rFonts w:ascii="Times New Roman" w:eastAsia="Calibri" w:hAnsi="Times New Roman" w:cs="Times New Roman"/>
          <w:sz w:val="26"/>
          <w:szCs w:val="26"/>
        </w:rPr>
        <w:t>2. Документ, подтверждающий доход;</w:t>
      </w:r>
    </w:p>
    <w:p w:rsidR="00CF5185" w:rsidRPr="003430A5" w:rsidRDefault="00CF5185" w:rsidP="00CF5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0A5">
        <w:rPr>
          <w:rFonts w:ascii="Times New Roman" w:eastAsia="Calibri" w:hAnsi="Times New Roman" w:cs="Times New Roman"/>
          <w:sz w:val="26"/>
          <w:szCs w:val="26"/>
        </w:rPr>
        <w:t>3. Пояснения о целях и экономическом смысле операций;</w:t>
      </w:r>
    </w:p>
    <w:p w:rsidR="00CF5185" w:rsidRPr="003430A5" w:rsidRDefault="00CF5185" w:rsidP="00CF5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0A5">
        <w:rPr>
          <w:rFonts w:ascii="Times New Roman" w:eastAsia="Calibri" w:hAnsi="Times New Roman" w:cs="Times New Roman"/>
          <w:sz w:val="26"/>
          <w:szCs w:val="26"/>
        </w:rPr>
        <w:t xml:space="preserve">4. Информацию о </w:t>
      </w:r>
      <w:proofErr w:type="spellStart"/>
      <w:r w:rsidRPr="003430A5">
        <w:rPr>
          <w:rFonts w:ascii="Times New Roman" w:eastAsia="Calibri" w:hAnsi="Times New Roman" w:cs="Times New Roman"/>
          <w:sz w:val="26"/>
          <w:szCs w:val="26"/>
        </w:rPr>
        <w:t>криптообменных</w:t>
      </w:r>
      <w:proofErr w:type="spellEnd"/>
      <w:r w:rsidRPr="003430A5">
        <w:rPr>
          <w:rFonts w:ascii="Times New Roman" w:eastAsia="Calibri" w:hAnsi="Times New Roman" w:cs="Times New Roman"/>
          <w:sz w:val="26"/>
          <w:szCs w:val="26"/>
        </w:rPr>
        <w:t xml:space="preserve"> операциях, в частности, период, с которого осуществляются </w:t>
      </w:r>
      <w:proofErr w:type="spellStart"/>
      <w:r w:rsidRPr="003430A5">
        <w:rPr>
          <w:rFonts w:ascii="Times New Roman" w:eastAsia="Calibri" w:hAnsi="Times New Roman" w:cs="Times New Roman"/>
          <w:sz w:val="26"/>
          <w:szCs w:val="26"/>
        </w:rPr>
        <w:t>криптообменные</w:t>
      </w:r>
      <w:proofErr w:type="spellEnd"/>
      <w:r w:rsidRPr="003430A5">
        <w:rPr>
          <w:rFonts w:ascii="Times New Roman" w:eastAsia="Calibri" w:hAnsi="Times New Roman" w:cs="Times New Roman"/>
          <w:sz w:val="26"/>
          <w:szCs w:val="26"/>
        </w:rPr>
        <w:t xml:space="preserve"> операции; документы, подтверждающие происхождение денежных средств, на которые изначально была приобретена криптовалюта; документы, подтверждающие уплату налогов согласно поданной декларации; нотариально заверенные скриншоты из личного кабинета </w:t>
      </w:r>
      <w:proofErr w:type="spellStart"/>
      <w:r w:rsidRPr="003430A5">
        <w:rPr>
          <w:rFonts w:ascii="Times New Roman" w:eastAsia="Calibri" w:hAnsi="Times New Roman" w:cs="Times New Roman"/>
          <w:sz w:val="26"/>
          <w:szCs w:val="26"/>
        </w:rPr>
        <w:t>криповалютных</w:t>
      </w:r>
      <w:proofErr w:type="spellEnd"/>
      <w:r w:rsidRPr="003430A5">
        <w:rPr>
          <w:rFonts w:ascii="Times New Roman" w:eastAsia="Calibri" w:hAnsi="Times New Roman" w:cs="Times New Roman"/>
          <w:sz w:val="26"/>
          <w:szCs w:val="26"/>
        </w:rPr>
        <w:t xml:space="preserve"> бирж, позволяющие идентифицировать принадлежность Клиенту; нотариально заверенную справку о верификации личного кабинета/аккаунта </w:t>
      </w:r>
      <w:proofErr w:type="spellStart"/>
      <w:r w:rsidRPr="003430A5">
        <w:rPr>
          <w:rFonts w:ascii="Times New Roman" w:eastAsia="Calibri" w:hAnsi="Times New Roman" w:cs="Times New Roman"/>
          <w:sz w:val="26"/>
          <w:szCs w:val="26"/>
        </w:rPr>
        <w:t>криптобиржы</w:t>
      </w:r>
      <w:proofErr w:type="spellEnd"/>
      <w:r w:rsidRPr="003430A5">
        <w:rPr>
          <w:rFonts w:ascii="Times New Roman" w:eastAsia="Calibri" w:hAnsi="Times New Roman" w:cs="Times New Roman"/>
          <w:sz w:val="26"/>
          <w:szCs w:val="26"/>
        </w:rPr>
        <w:t xml:space="preserve">; нотариально заверенные скриншоты выписки по счету </w:t>
      </w:r>
      <w:proofErr w:type="spellStart"/>
      <w:r w:rsidRPr="003430A5">
        <w:rPr>
          <w:rFonts w:ascii="Times New Roman" w:eastAsia="Calibri" w:hAnsi="Times New Roman" w:cs="Times New Roman"/>
          <w:sz w:val="26"/>
          <w:szCs w:val="26"/>
        </w:rPr>
        <w:t>криптовалютных</w:t>
      </w:r>
      <w:proofErr w:type="spellEnd"/>
      <w:r w:rsidRPr="003430A5">
        <w:rPr>
          <w:rFonts w:ascii="Times New Roman" w:eastAsia="Calibri" w:hAnsi="Times New Roman" w:cs="Times New Roman"/>
          <w:sz w:val="26"/>
          <w:szCs w:val="26"/>
        </w:rPr>
        <w:t xml:space="preserve"> бирж, позволяющие однозначно идентифицировать сумму, дату и отправителя платежа; нотариально заверенные скриншоты из личного кабинета контрагента </w:t>
      </w:r>
      <w:proofErr w:type="spellStart"/>
      <w:r w:rsidRPr="003430A5">
        <w:rPr>
          <w:rFonts w:ascii="Times New Roman" w:eastAsia="Calibri" w:hAnsi="Times New Roman" w:cs="Times New Roman"/>
          <w:sz w:val="26"/>
          <w:szCs w:val="26"/>
        </w:rPr>
        <w:t>криптовалютных</w:t>
      </w:r>
      <w:proofErr w:type="spellEnd"/>
      <w:r w:rsidRPr="003430A5">
        <w:rPr>
          <w:rFonts w:ascii="Times New Roman" w:eastAsia="Calibri" w:hAnsi="Times New Roman" w:cs="Times New Roman"/>
          <w:sz w:val="26"/>
          <w:szCs w:val="26"/>
        </w:rPr>
        <w:t xml:space="preserve"> бирж, осуществившего покупку криптовалюты в рамках трех последних операций, </w:t>
      </w:r>
      <w:proofErr w:type="spellStart"/>
      <w:r w:rsidRPr="003430A5">
        <w:rPr>
          <w:rFonts w:ascii="Times New Roman" w:eastAsia="Calibri" w:hAnsi="Times New Roman" w:cs="Times New Roman"/>
          <w:sz w:val="26"/>
          <w:szCs w:val="26"/>
        </w:rPr>
        <w:t>повзоляющие</w:t>
      </w:r>
      <w:proofErr w:type="spellEnd"/>
      <w:r w:rsidRPr="003430A5">
        <w:rPr>
          <w:rFonts w:ascii="Times New Roman" w:eastAsia="Calibri" w:hAnsi="Times New Roman" w:cs="Times New Roman"/>
          <w:sz w:val="26"/>
          <w:szCs w:val="26"/>
        </w:rPr>
        <w:t xml:space="preserve"> однозначно идентифицировать их принадлежность к продавцу (ФИО, реквизиты карт и т.д.) и т.д.</w:t>
      </w:r>
    </w:p>
    <w:p w:rsidR="00CF5185" w:rsidRPr="003430A5" w:rsidRDefault="00CF5185" w:rsidP="00CF5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0A5">
        <w:rPr>
          <w:rFonts w:ascii="Times New Roman" w:eastAsia="Calibri" w:hAnsi="Times New Roman" w:cs="Times New Roman"/>
          <w:sz w:val="26"/>
          <w:szCs w:val="26"/>
        </w:rPr>
        <w:t xml:space="preserve">Сотрудник Банка 09.06.2022 с учетом нахождения Клиента в отпуске в Сочи указал срок предоставления указанных документов – </w:t>
      </w:r>
      <w:r w:rsidRPr="003430A5">
        <w:rPr>
          <w:rFonts w:ascii="Times New Roman" w:eastAsia="Calibri" w:hAnsi="Times New Roman" w:cs="Times New Roman"/>
          <w:b/>
          <w:sz w:val="26"/>
          <w:szCs w:val="26"/>
        </w:rPr>
        <w:t>до 20.06.2022</w:t>
      </w:r>
      <w:r w:rsidRPr="003430A5">
        <w:rPr>
          <w:rFonts w:ascii="Times New Roman" w:eastAsia="Calibri" w:hAnsi="Times New Roman" w:cs="Times New Roman"/>
          <w:sz w:val="26"/>
          <w:szCs w:val="26"/>
        </w:rPr>
        <w:t>.</w:t>
      </w:r>
      <w:r w:rsidRPr="003430A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CF5185" w:rsidRDefault="00CF5185" w:rsidP="00CF5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0A5">
        <w:rPr>
          <w:rFonts w:ascii="Times New Roman" w:eastAsia="Calibri" w:hAnsi="Times New Roman" w:cs="Times New Roman"/>
          <w:sz w:val="26"/>
          <w:szCs w:val="26"/>
        </w:rPr>
        <w:t xml:space="preserve">15.06.2022 от сотрудника службы поддержки Банка поступило сообщение, что Клиенту рекомендовано закрытие счетов на основании «проведенной проверки», </w:t>
      </w:r>
      <w:r>
        <w:rPr>
          <w:rFonts w:ascii="Times New Roman" w:eastAsia="Calibri" w:hAnsi="Times New Roman" w:cs="Times New Roman"/>
          <w:sz w:val="26"/>
          <w:szCs w:val="26"/>
        </w:rPr>
        <w:t>Сотрудник</w:t>
      </w:r>
      <w:r w:rsidRPr="003430A5">
        <w:rPr>
          <w:rFonts w:ascii="Times New Roman" w:eastAsia="Calibri" w:hAnsi="Times New Roman" w:cs="Times New Roman"/>
          <w:sz w:val="26"/>
          <w:szCs w:val="26"/>
        </w:rPr>
        <w:t xml:space="preserve"> также сообщил, что </w:t>
      </w:r>
      <w:r w:rsidRPr="003430A5">
        <w:rPr>
          <w:rFonts w:ascii="Times New Roman" w:eastAsia="Calibri" w:hAnsi="Times New Roman" w:cs="Times New Roman"/>
          <w:b/>
          <w:sz w:val="26"/>
          <w:szCs w:val="26"/>
        </w:rPr>
        <w:t xml:space="preserve">дистанционное обслуживание прекращено в отношении Клиента </w:t>
      </w:r>
      <w:r w:rsidRPr="003430A5">
        <w:rPr>
          <w:rFonts w:ascii="Times New Roman" w:eastAsia="Calibri" w:hAnsi="Times New Roman" w:cs="Times New Roman"/>
          <w:b/>
          <w:sz w:val="26"/>
          <w:szCs w:val="26"/>
          <w:u w:val="single"/>
        </w:rPr>
        <w:t>навсегда</w:t>
      </w:r>
      <w:r w:rsidRPr="003430A5">
        <w:rPr>
          <w:rFonts w:ascii="Times New Roman" w:eastAsia="Calibri" w:hAnsi="Times New Roman" w:cs="Times New Roman"/>
          <w:b/>
          <w:sz w:val="26"/>
          <w:szCs w:val="26"/>
        </w:rPr>
        <w:t xml:space="preserve"> и банк не обязан разглашать причины </w:t>
      </w:r>
      <w:r w:rsidRPr="003430A5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прекращения обслуживания. </w:t>
      </w:r>
      <w:r w:rsidRPr="003430A5">
        <w:rPr>
          <w:rFonts w:ascii="Times New Roman" w:eastAsia="Calibri" w:hAnsi="Times New Roman" w:cs="Times New Roman"/>
          <w:sz w:val="26"/>
          <w:szCs w:val="26"/>
        </w:rPr>
        <w:t>На указанное сообщение Клиент ответил, что к указанному моменту еще даже не успел предоставить каких-либо документов для проверки банком, а также выразил готовность предоставить любые необходимые Банку документы и отметил, что срок для предоставления документов был дан Банком до 20.06.2022.</w:t>
      </w:r>
    </w:p>
    <w:p w:rsidR="00CF5185" w:rsidRDefault="00CF5185" w:rsidP="00CF5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3367">
        <w:rPr>
          <w:rFonts w:ascii="Times New Roman" w:eastAsia="Calibri" w:hAnsi="Times New Roman" w:cs="Times New Roman"/>
          <w:sz w:val="26"/>
          <w:szCs w:val="26"/>
        </w:rPr>
        <w:t xml:space="preserve">Согласно ст. 7 Закона N 115-ФЗ в случае принятия организацией, осуществляющей операции с денежными средствами или иным имуществом, решения об отказе от проведения операции, предусмотренного п. 11 настоящей статьи, а в случае, если данная организация является кредитной организацией, также решения об отказе от заключения договора банковского счета (вклада), предусмотренного </w:t>
      </w:r>
      <w:proofErr w:type="spellStart"/>
      <w:r w:rsidRPr="00F93367">
        <w:rPr>
          <w:rFonts w:ascii="Times New Roman" w:eastAsia="Calibri" w:hAnsi="Times New Roman" w:cs="Times New Roman"/>
          <w:sz w:val="26"/>
          <w:szCs w:val="26"/>
        </w:rPr>
        <w:t>абз</w:t>
      </w:r>
      <w:proofErr w:type="spellEnd"/>
      <w:r w:rsidRPr="00F93367">
        <w:rPr>
          <w:rFonts w:ascii="Times New Roman" w:eastAsia="Calibri" w:hAnsi="Times New Roman" w:cs="Times New Roman"/>
          <w:sz w:val="26"/>
          <w:szCs w:val="26"/>
        </w:rPr>
        <w:t>. 2 п. 5.2 настоящей статьи, клиент с учетом полученной от указанной организации, осуществляющей операции с денежными средствами или иным имуществом, информации о причинах принятия соответствующего решения вправе представить в эту организацию документы и/или сведения об отсутствии оснований для принятия решения об отказе от проведения операции или об отказе от заключения договора банковского счета (вклада).</w:t>
      </w:r>
    </w:p>
    <w:p w:rsidR="00CF5185" w:rsidRDefault="00CF5185" w:rsidP="00CF5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20.06.2022 Клиент в чат службы поддержки Банка направил претензию с требованием вернуть дистанционное обслуживание счета и представил ряд документов, обосновывающих финансовые операции Клиента, в частности:</w:t>
      </w:r>
    </w:p>
    <w:p w:rsidR="00CF5185" w:rsidRPr="00571619" w:rsidRDefault="00CF5185" w:rsidP="00CF5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excel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-таблицу</w:t>
      </w:r>
      <w:r w:rsidRPr="00571619">
        <w:rPr>
          <w:rFonts w:ascii="Times New Roman" w:eastAsia="Calibri" w:hAnsi="Times New Roman" w:cs="Times New Roman"/>
          <w:sz w:val="26"/>
          <w:szCs w:val="26"/>
        </w:rPr>
        <w:t xml:space="preserve"> с комментарием к каждой операции Клиента. Данная таблица поделена на три раздела: 1) операции с участием криптовалюты; 2) подробные пояснения своего экономического поведения по поводу операций с участием криптовалюты; 3) операции, связанные с бытовыми расходами. К каждой операции прикреплен скриншот из приложения «Тинькофф банк» и дан подробный комментарий. </w:t>
      </w:r>
    </w:p>
    <w:p w:rsidR="00CF5185" w:rsidRPr="00571619" w:rsidRDefault="00CF5185" w:rsidP="00CF5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справку</w:t>
      </w:r>
      <w:r w:rsidRPr="00571619">
        <w:rPr>
          <w:rFonts w:ascii="Times New Roman" w:eastAsia="Calibri" w:hAnsi="Times New Roman" w:cs="Times New Roman"/>
          <w:sz w:val="26"/>
          <w:szCs w:val="26"/>
        </w:rPr>
        <w:t xml:space="preserve"> о доходах и суммах налога физического лица за 2021 год (налоговый агент АО «Тинькофф банк»;</w:t>
      </w:r>
    </w:p>
    <w:p w:rsidR="00CF5185" w:rsidRPr="00571619" w:rsidRDefault="00CF5185" w:rsidP="00CF5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справку</w:t>
      </w:r>
      <w:r w:rsidRPr="00571619">
        <w:rPr>
          <w:rFonts w:ascii="Times New Roman" w:eastAsia="Calibri" w:hAnsi="Times New Roman" w:cs="Times New Roman"/>
          <w:sz w:val="26"/>
          <w:szCs w:val="26"/>
        </w:rPr>
        <w:t xml:space="preserve"> о доходах и суммах налога физического лица за 2021 год (налоговый агент ООО «</w:t>
      </w:r>
      <w:proofErr w:type="spellStart"/>
      <w:proofErr w:type="gramStart"/>
      <w:r w:rsidRPr="00571619">
        <w:rPr>
          <w:rFonts w:ascii="Times New Roman" w:eastAsia="Calibri" w:hAnsi="Times New Roman" w:cs="Times New Roman"/>
          <w:sz w:val="26"/>
          <w:szCs w:val="26"/>
        </w:rPr>
        <w:t>БК»Марафон</w:t>
      </w:r>
      <w:proofErr w:type="spellEnd"/>
      <w:proofErr w:type="gramEnd"/>
      <w:r w:rsidRPr="00571619">
        <w:rPr>
          <w:rFonts w:ascii="Times New Roman" w:eastAsia="Calibri" w:hAnsi="Times New Roman" w:cs="Times New Roman"/>
          <w:sz w:val="26"/>
          <w:szCs w:val="26"/>
        </w:rPr>
        <w:t>»);</w:t>
      </w:r>
    </w:p>
    <w:p w:rsidR="00CF5185" w:rsidRPr="00571619" w:rsidRDefault="00CF5185" w:rsidP="00CF5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619">
        <w:rPr>
          <w:rFonts w:ascii="Times New Roman" w:eastAsia="Calibri" w:hAnsi="Times New Roman" w:cs="Times New Roman"/>
          <w:sz w:val="26"/>
          <w:szCs w:val="26"/>
        </w:rPr>
        <w:t>- справка о доходах и суммах налога физического лица за 2021 год (налоговый агент ООО «Компания БКС»;</w:t>
      </w:r>
    </w:p>
    <w:p w:rsidR="00CF5185" w:rsidRPr="00571619" w:rsidRDefault="00CF5185" w:rsidP="00CF5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налоговую декларацию</w:t>
      </w:r>
      <w:r w:rsidRPr="00571619">
        <w:rPr>
          <w:rFonts w:ascii="Times New Roman" w:eastAsia="Calibri" w:hAnsi="Times New Roman" w:cs="Times New Roman"/>
          <w:sz w:val="26"/>
          <w:szCs w:val="26"/>
        </w:rPr>
        <w:t xml:space="preserve"> за 2021 год;</w:t>
      </w:r>
    </w:p>
    <w:p w:rsidR="00CF5185" w:rsidRDefault="00CF5185" w:rsidP="00CF5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619">
        <w:rPr>
          <w:rFonts w:ascii="Times New Roman" w:eastAsia="Calibri" w:hAnsi="Times New Roman" w:cs="Times New Roman"/>
          <w:sz w:val="26"/>
          <w:szCs w:val="26"/>
        </w:rPr>
        <w:t>- выписк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571619">
        <w:rPr>
          <w:rFonts w:ascii="Times New Roman" w:eastAsia="Calibri" w:hAnsi="Times New Roman" w:cs="Times New Roman"/>
          <w:sz w:val="26"/>
          <w:szCs w:val="26"/>
        </w:rPr>
        <w:t xml:space="preserve"> со счета Клиента в АО «БКС Банк» с 01.01.2022 по 09.06.2022 (в которой отражены в т.ч.</w:t>
      </w:r>
      <w:r>
        <w:rPr>
          <w:rFonts w:ascii="Times New Roman" w:eastAsia="Calibri" w:hAnsi="Times New Roman" w:cs="Times New Roman"/>
          <w:sz w:val="26"/>
          <w:szCs w:val="26"/>
        </w:rPr>
        <w:t xml:space="preserve">  поступления заработной платы).</w:t>
      </w:r>
    </w:p>
    <w:p w:rsidR="00CF5185" w:rsidRDefault="00CF5185" w:rsidP="00CF5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5185" w:rsidRDefault="00CF5185" w:rsidP="00CF5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ту же минуту от сотрудника Банка в чате пришло сообщение, что «по результатам комплексной проверки по счету ограничено и возобновлено не будет, а причины банк не разглашает. Банк снова предложил перевести деньги в другой банк.</w:t>
      </w:r>
    </w:p>
    <w:p w:rsidR="00CF5185" w:rsidRDefault="00CF5185" w:rsidP="00CF5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Следующий сотрудник Банка сообщил, что ограничения наложены по пункту 7.3.9 Условий комплексного банковского обслуживания и направил скриншот данного пункта. </w:t>
      </w:r>
      <w:r>
        <w:rPr>
          <w:rFonts w:ascii="Times New Roman" w:eastAsia="Calibri" w:hAnsi="Times New Roman" w:cs="Times New Roman"/>
          <w:sz w:val="26"/>
          <w:szCs w:val="26"/>
        </w:rPr>
        <w:t>Согласно этому пункту,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Банк имеет право:</w:t>
      </w:r>
    </w:p>
    <w:p w:rsidR="00CF5185" w:rsidRPr="007C74A4" w:rsidRDefault="00CF5185" w:rsidP="00CF5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74A4">
        <w:rPr>
          <w:rFonts w:ascii="Times New Roman" w:eastAsia="Calibri" w:hAnsi="Times New Roman" w:cs="Times New Roman"/>
          <w:sz w:val="26"/>
          <w:szCs w:val="26"/>
        </w:rPr>
        <w:t xml:space="preserve">Отказать Держателю в проведении операций по </w:t>
      </w:r>
      <w:proofErr w:type="spellStart"/>
      <w:r w:rsidRPr="007C74A4">
        <w:rPr>
          <w:rFonts w:ascii="Times New Roman" w:eastAsia="Calibri" w:hAnsi="Times New Roman" w:cs="Times New Roman"/>
          <w:sz w:val="26"/>
          <w:szCs w:val="26"/>
        </w:rPr>
        <w:t>Картсчету</w:t>
      </w:r>
      <w:proofErr w:type="spellEnd"/>
      <w:r w:rsidRPr="007C74A4">
        <w:rPr>
          <w:rFonts w:ascii="Times New Roman" w:eastAsia="Calibri" w:hAnsi="Times New Roman" w:cs="Times New Roman"/>
          <w:sz w:val="26"/>
          <w:szCs w:val="26"/>
        </w:rPr>
        <w:t xml:space="preserve"> и/или блокировать действие Расчетной карты/Токена,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74A4">
        <w:rPr>
          <w:rFonts w:ascii="Times New Roman" w:eastAsia="Calibri" w:hAnsi="Times New Roman" w:cs="Times New Roman"/>
          <w:sz w:val="26"/>
          <w:szCs w:val="26"/>
        </w:rPr>
        <w:t>Интернет-Банка, Мобильного Банка без предварительного уведомления Клиента (Держателя), а также установить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74A4">
        <w:rPr>
          <w:rFonts w:ascii="Times New Roman" w:eastAsia="Calibri" w:hAnsi="Times New Roman" w:cs="Times New Roman"/>
          <w:sz w:val="26"/>
          <w:szCs w:val="26"/>
        </w:rPr>
        <w:t>ограничение на проведение операций через Дистанционное обслуживание и/или с использованием карты, если:</w:t>
      </w:r>
    </w:p>
    <w:p w:rsidR="00CF5185" w:rsidRPr="007C74A4" w:rsidRDefault="00CF5185" w:rsidP="00CF5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74A4">
        <w:rPr>
          <w:rFonts w:ascii="Times New Roman" w:eastAsia="Calibri" w:hAnsi="Times New Roman" w:cs="Times New Roman"/>
          <w:sz w:val="26"/>
          <w:szCs w:val="26"/>
        </w:rPr>
        <w:t>• в Банк не поступил документ, необходимый для проведения операции и оформленный согласно требованиям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74A4">
        <w:rPr>
          <w:rFonts w:ascii="Times New Roman" w:eastAsia="Calibri" w:hAnsi="Times New Roman" w:cs="Times New Roman"/>
          <w:sz w:val="26"/>
          <w:szCs w:val="26"/>
        </w:rPr>
        <w:t>законодательства Российской Федерации;</w:t>
      </w:r>
    </w:p>
    <w:p w:rsidR="00CF5185" w:rsidRPr="007C74A4" w:rsidRDefault="00CF5185" w:rsidP="00CF5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74A4">
        <w:rPr>
          <w:rFonts w:ascii="Times New Roman" w:eastAsia="Calibri" w:hAnsi="Times New Roman" w:cs="Times New Roman"/>
          <w:sz w:val="26"/>
          <w:szCs w:val="26"/>
        </w:rPr>
        <w:lastRenderedPageBreak/>
        <w:t>• у Банка возникли сомнения в том, что Поручение поступило от Клиента или Представителя Клиента;</w:t>
      </w:r>
    </w:p>
    <w:p w:rsidR="00CF5185" w:rsidRPr="007C74A4" w:rsidRDefault="00CF5185" w:rsidP="00CF5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74A4">
        <w:rPr>
          <w:rFonts w:ascii="Times New Roman" w:eastAsia="Calibri" w:hAnsi="Times New Roman" w:cs="Times New Roman"/>
          <w:sz w:val="26"/>
          <w:szCs w:val="26"/>
        </w:rPr>
        <w:t>• операция противоречит требованиям законодательства Российской Федерации или настоящих Общих условий;</w:t>
      </w:r>
    </w:p>
    <w:p w:rsidR="00CF5185" w:rsidRPr="007C74A4" w:rsidRDefault="00CF5185" w:rsidP="00CF5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74A4">
        <w:rPr>
          <w:rFonts w:ascii="Times New Roman" w:eastAsia="Calibri" w:hAnsi="Times New Roman" w:cs="Times New Roman"/>
          <w:sz w:val="26"/>
          <w:szCs w:val="26"/>
        </w:rPr>
        <w:t>• если у Банка возникли подозрения, что проводимая операция связана с ведением Клиентом или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74A4">
        <w:rPr>
          <w:rFonts w:ascii="Times New Roman" w:eastAsia="Calibri" w:hAnsi="Times New Roman" w:cs="Times New Roman"/>
          <w:sz w:val="26"/>
          <w:szCs w:val="26"/>
        </w:rPr>
        <w:t>Представителем Клиента предпринимательской деятельности;</w:t>
      </w:r>
    </w:p>
    <w:p w:rsidR="00CF5185" w:rsidRPr="007C74A4" w:rsidRDefault="00CF5185" w:rsidP="00CF5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74A4">
        <w:rPr>
          <w:rFonts w:ascii="Times New Roman" w:eastAsia="Calibri" w:hAnsi="Times New Roman" w:cs="Times New Roman"/>
          <w:sz w:val="26"/>
          <w:szCs w:val="26"/>
        </w:rPr>
        <w:t xml:space="preserve">• права Клиента по распоряжению денежными средствами на </w:t>
      </w:r>
      <w:proofErr w:type="spellStart"/>
      <w:r w:rsidRPr="007C74A4">
        <w:rPr>
          <w:rFonts w:ascii="Times New Roman" w:eastAsia="Calibri" w:hAnsi="Times New Roman" w:cs="Times New Roman"/>
          <w:sz w:val="26"/>
          <w:szCs w:val="26"/>
        </w:rPr>
        <w:t>Картсчете</w:t>
      </w:r>
      <w:proofErr w:type="spellEnd"/>
      <w:r w:rsidRPr="007C74A4">
        <w:rPr>
          <w:rFonts w:ascii="Times New Roman" w:eastAsia="Calibri" w:hAnsi="Times New Roman" w:cs="Times New Roman"/>
          <w:sz w:val="26"/>
          <w:szCs w:val="26"/>
        </w:rPr>
        <w:t xml:space="preserve"> ограничены в порядке и случаях,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74A4">
        <w:rPr>
          <w:rFonts w:ascii="Times New Roman" w:eastAsia="Calibri" w:hAnsi="Times New Roman" w:cs="Times New Roman"/>
          <w:sz w:val="26"/>
          <w:szCs w:val="26"/>
        </w:rPr>
        <w:t>предусмотренных законодательством Российской Федерации, Условиями и настоящими Общими условиями;</w:t>
      </w:r>
    </w:p>
    <w:p w:rsidR="00CF5185" w:rsidRDefault="00CF5185" w:rsidP="00CF5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74A4">
        <w:rPr>
          <w:rFonts w:ascii="Times New Roman" w:eastAsia="Calibri" w:hAnsi="Times New Roman" w:cs="Times New Roman"/>
          <w:sz w:val="26"/>
          <w:szCs w:val="26"/>
        </w:rPr>
        <w:t>• Держателем не исполнены обязательства, предусмотренные настоящими Общими условиями</w:t>
      </w:r>
    </w:p>
    <w:p w:rsidR="00CF5185" w:rsidRPr="009E65DC" w:rsidRDefault="00CF5185" w:rsidP="00CF5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E65DC">
        <w:rPr>
          <w:rFonts w:ascii="Times New Roman" w:eastAsia="Calibri" w:hAnsi="Times New Roman" w:cs="Times New Roman"/>
          <w:b/>
          <w:sz w:val="26"/>
          <w:szCs w:val="26"/>
        </w:rPr>
        <w:t>Какой из этих подпунктов нарушил Клиент и какие основания у Банка так считать, Банк так и не сообщил.</w:t>
      </w:r>
    </w:p>
    <w:p w:rsidR="00CF5185" w:rsidRPr="003430A5" w:rsidRDefault="00CF5185" w:rsidP="00CF5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5185" w:rsidRDefault="00CF5185" w:rsidP="00CF5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0A5">
        <w:rPr>
          <w:rFonts w:ascii="Times New Roman" w:eastAsia="Calibri" w:hAnsi="Times New Roman" w:cs="Times New Roman"/>
          <w:sz w:val="26"/>
          <w:szCs w:val="26"/>
        </w:rPr>
        <w:t>Клиент, являясь таковым на протяжении многих лет, считает указанные действия сотрудников Банка незаконными, необоснованными и порочащими репутацию Банка.</w:t>
      </w:r>
    </w:p>
    <w:p w:rsidR="00CF5185" w:rsidRPr="003430A5" w:rsidRDefault="00CF5185" w:rsidP="00CF5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0A5">
        <w:rPr>
          <w:rFonts w:ascii="Times New Roman" w:eastAsia="Calibri" w:hAnsi="Times New Roman" w:cs="Times New Roman"/>
          <w:sz w:val="26"/>
          <w:szCs w:val="26"/>
        </w:rPr>
        <w:t>Для целей квалификации операций в качестве сомнительных операций кредитные организации используют признаки, указанные в положении ЦБ РФ от 02.03.2012 N 375-П "О требованиях к правилам внутреннего контроля кредитной организации в целях противодействия легализации (отмыванию) доходов, полученных преступным путем, и финансированию терроризма и пороговая сумма по операциям, имеющим признаки необычной сделки, определяются кредитной организацией в каждом конкретном случае.</w:t>
      </w:r>
    </w:p>
    <w:p w:rsidR="00CF5185" w:rsidRPr="003430A5" w:rsidRDefault="00CF5185" w:rsidP="00CF5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0A5">
        <w:rPr>
          <w:rFonts w:ascii="Times New Roman" w:eastAsia="Calibri" w:hAnsi="Times New Roman" w:cs="Times New Roman"/>
          <w:sz w:val="26"/>
          <w:szCs w:val="26"/>
        </w:rPr>
        <w:t>В силу подпункта 4 п.1 ст. 7 Закона N 115 - ФЗ, Банк должен документально фиксировать основания совершения операций, подлежащих обязательному контролю, а также операций, по которым у банка возникли подозрения, что они осуществляются в целях легализации доходов, полученных преступным путём, или финансирования терроризма.</w:t>
      </w:r>
    </w:p>
    <w:p w:rsidR="00CF5185" w:rsidRPr="003430A5" w:rsidRDefault="00CF5185" w:rsidP="00CF5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0A5">
        <w:rPr>
          <w:rFonts w:ascii="Times New Roman" w:eastAsia="Calibri" w:hAnsi="Times New Roman" w:cs="Times New Roman"/>
          <w:sz w:val="26"/>
          <w:szCs w:val="26"/>
        </w:rPr>
        <w:t>Клиент предоставл</w:t>
      </w:r>
      <w:r>
        <w:rPr>
          <w:rFonts w:ascii="Times New Roman" w:eastAsia="Calibri" w:hAnsi="Times New Roman" w:cs="Times New Roman"/>
          <w:sz w:val="26"/>
          <w:szCs w:val="26"/>
        </w:rPr>
        <w:t>ены</w:t>
      </w:r>
      <w:r w:rsidRPr="003430A5">
        <w:rPr>
          <w:rFonts w:ascii="Times New Roman" w:eastAsia="Calibri" w:hAnsi="Times New Roman" w:cs="Times New Roman"/>
          <w:sz w:val="26"/>
          <w:szCs w:val="26"/>
        </w:rPr>
        <w:t xml:space="preserve"> в банк запрошенные им документы (см. приложения к настоящей претензии), которые представляется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возможным приобщить.</w:t>
      </w:r>
      <w:r w:rsidRPr="003430A5">
        <w:rPr>
          <w:rFonts w:ascii="Times New Roman" w:eastAsia="Calibri" w:hAnsi="Times New Roman" w:cs="Times New Roman"/>
          <w:sz w:val="26"/>
          <w:szCs w:val="26"/>
        </w:rPr>
        <w:t xml:space="preserve"> Из указанных документов прямо следует наличие экономического смысла </w:t>
      </w:r>
      <w:r w:rsidRPr="003430A5">
        <w:rPr>
          <w:rFonts w:ascii="Times New Roman" w:eastAsia="Calibri" w:hAnsi="Times New Roman" w:cs="Times New Roman"/>
          <w:b/>
          <w:sz w:val="26"/>
          <w:szCs w:val="26"/>
        </w:rPr>
        <w:t>каждой операции</w:t>
      </w:r>
      <w:r w:rsidRPr="003430A5">
        <w:rPr>
          <w:rFonts w:ascii="Times New Roman" w:eastAsia="Calibri" w:hAnsi="Times New Roman" w:cs="Times New Roman"/>
          <w:sz w:val="26"/>
          <w:szCs w:val="26"/>
        </w:rPr>
        <w:t xml:space="preserve"> Клиента, их обоснованности, законности и отсутствие какой-либо сомнительности таких операций.</w:t>
      </w:r>
    </w:p>
    <w:p w:rsidR="00CF5185" w:rsidRPr="003430A5" w:rsidRDefault="00CF5185" w:rsidP="00CF5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0A5">
        <w:rPr>
          <w:rFonts w:ascii="Times New Roman" w:eastAsia="Calibri" w:hAnsi="Times New Roman" w:cs="Times New Roman"/>
          <w:sz w:val="26"/>
          <w:szCs w:val="26"/>
        </w:rPr>
        <w:t>Таким образом, Банк:</w:t>
      </w:r>
    </w:p>
    <w:p w:rsidR="00CF5185" w:rsidRPr="003430A5" w:rsidRDefault="00CF5185" w:rsidP="00CF518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430A5">
        <w:rPr>
          <w:rFonts w:ascii="Times New Roman" w:eastAsia="Calibri" w:hAnsi="Times New Roman" w:cs="Times New Roman"/>
          <w:b/>
          <w:sz w:val="26"/>
          <w:szCs w:val="26"/>
        </w:rPr>
        <w:t xml:space="preserve">Предоставил Клиенту срок для направления запрошенных документов до 20.06.2022 (включительно, по общему правилу исчисления сроков), при этом </w:t>
      </w:r>
      <w:r w:rsidRPr="003430A5">
        <w:rPr>
          <w:rFonts w:ascii="Times New Roman" w:eastAsia="Calibri" w:hAnsi="Times New Roman" w:cs="Times New Roman"/>
          <w:b/>
          <w:sz w:val="26"/>
          <w:szCs w:val="26"/>
          <w:u w:val="single"/>
        </w:rPr>
        <w:t>проверку, в целях которой были запрошены документы, провел еще 15.06.2022 без, собственно, представления каких-либо документов</w:t>
      </w:r>
      <w:r w:rsidRPr="003430A5">
        <w:rPr>
          <w:rFonts w:ascii="Times New Roman" w:eastAsia="Calibri" w:hAnsi="Times New Roman" w:cs="Times New Roman"/>
          <w:b/>
          <w:sz w:val="26"/>
          <w:szCs w:val="26"/>
        </w:rPr>
        <w:t xml:space="preserve">, исходя из сообщения службы поддержки от 15.06.2022. Таким образом, Банк нарушил сроки, которые сам же и обозначил Клиенту. </w:t>
      </w:r>
    </w:p>
    <w:p w:rsidR="00CF5185" w:rsidRPr="003430A5" w:rsidRDefault="00CF5185" w:rsidP="00CF518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430A5">
        <w:rPr>
          <w:rFonts w:ascii="Times New Roman" w:eastAsia="Calibri" w:hAnsi="Times New Roman" w:cs="Times New Roman"/>
          <w:b/>
          <w:sz w:val="26"/>
          <w:szCs w:val="26"/>
        </w:rPr>
        <w:t xml:space="preserve">Банк запросил заведомо несуществующие документы, в частности, нотариально заверенные скриншоты личного кабинета </w:t>
      </w:r>
      <w:proofErr w:type="spellStart"/>
      <w:r w:rsidRPr="003430A5">
        <w:rPr>
          <w:rFonts w:ascii="Times New Roman" w:eastAsia="Calibri" w:hAnsi="Times New Roman" w:cs="Times New Roman"/>
          <w:b/>
          <w:sz w:val="26"/>
          <w:szCs w:val="26"/>
        </w:rPr>
        <w:t>криптобиржы</w:t>
      </w:r>
      <w:proofErr w:type="spellEnd"/>
      <w:r w:rsidRPr="003430A5">
        <w:rPr>
          <w:rFonts w:ascii="Times New Roman" w:eastAsia="Calibri" w:hAnsi="Times New Roman" w:cs="Times New Roman"/>
          <w:b/>
          <w:sz w:val="26"/>
          <w:szCs w:val="26"/>
        </w:rPr>
        <w:t xml:space="preserve"> с возможностью верификации по ФИО;</w:t>
      </w:r>
    </w:p>
    <w:p w:rsidR="00CF5185" w:rsidRDefault="00CF5185" w:rsidP="00CF518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430A5">
        <w:rPr>
          <w:rFonts w:ascii="Times New Roman" w:eastAsia="Calibri" w:hAnsi="Times New Roman" w:cs="Times New Roman"/>
          <w:b/>
          <w:sz w:val="26"/>
          <w:szCs w:val="26"/>
        </w:rPr>
        <w:t xml:space="preserve">Банк не пригласил Клиента на устную беседу, не прокомментировал представленные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20.06.2022 Клиентом </w:t>
      </w:r>
      <w:r w:rsidRPr="003430A5">
        <w:rPr>
          <w:rFonts w:ascii="Times New Roman" w:eastAsia="Calibri" w:hAnsi="Times New Roman" w:cs="Times New Roman"/>
          <w:b/>
          <w:sz w:val="26"/>
          <w:szCs w:val="26"/>
        </w:rPr>
        <w:t xml:space="preserve">документы, </w:t>
      </w:r>
      <w:r w:rsidRPr="003430A5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не запросил никаких дополнительных документов.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Более того, исходя из переписки с Банком, последний даже не изучал документы Клиента, поскольку отказ в возобновлении обслуживания был в очередной раз направлен в ту же минуты, что и документы Клиентом.</w:t>
      </w:r>
    </w:p>
    <w:p w:rsidR="00CF5185" w:rsidRPr="003430A5" w:rsidRDefault="00CF5185" w:rsidP="00CF5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63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5185" w:rsidRPr="003430A5" w:rsidRDefault="00CF5185" w:rsidP="00CF5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430A5">
        <w:rPr>
          <w:rFonts w:ascii="Times New Roman" w:eastAsia="Calibri" w:hAnsi="Times New Roman" w:cs="Times New Roman"/>
          <w:b/>
          <w:sz w:val="26"/>
          <w:szCs w:val="26"/>
        </w:rPr>
        <w:t>Указанные обстоятельства прямо свидетельствует о предопределенности решения Банка в отношении счета Клиента и необоснованности действий Банка.</w:t>
      </w:r>
    </w:p>
    <w:p w:rsidR="00CF5185" w:rsidRPr="003430A5" w:rsidRDefault="00CF5185" w:rsidP="00CF5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430A5">
        <w:rPr>
          <w:rFonts w:ascii="Times New Roman" w:eastAsia="Calibri" w:hAnsi="Times New Roman" w:cs="Times New Roman"/>
          <w:sz w:val="26"/>
          <w:szCs w:val="26"/>
        </w:rPr>
        <w:t xml:space="preserve">Подобные действия банка Клиент считает недобросовестными, поскольку в отсутствие правовой определенности и обоснованности действий банка, лишь с формальной ссылкой на предоставленное законом право усомниться в хозяйственной деятельности клиента, и причислить его к категории "сомнительных и подозрительных", не позволяют клиенту в дальнейшем без несоразмерных временных затрат как пользоваться денежными средствами на расчетном счете, так и иметь возможность беспрепятственно заключать договоры с другими банками, ввиду того что при проверке клиента при заключении нового договора на расчетное обслуживание банки априори относятся к подобному клиенту "с подозрением", лишь по тому основанию, что предыдущие банковские отношения были закончены с применением к клиенту </w:t>
      </w:r>
      <w:r w:rsidRPr="003430A5">
        <w:rPr>
          <w:rFonts w:ascii="Times New Roman" w:eastAsia="Calibri" w:hAnsi="Times New Roman" w:cs="Times New Roman"/>
          <w:color w:val="000000"/>
          <w:sz w:val="26"/>
          <w:szCs w:val="26"/>
        </w:rPr>
        <w:t>норм </w:t>
      </w:r>
      <w:hyperlink r:id="rId10" w:anchor="/document/12123862/entry/0" w:history="1">
        <w:r w:rsidRPr="003430A5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</w:rPr>
          <w:t>Закона</w:t>
        </w:r>
      </w:hyperlink>
      <w:r w:rsidRPr="003430A5">
        <w:rPr>
          <w:rFonts w:ascii="Times New Roman" w:eastAsia="Calibri" w:hAnsi="Times New Roman" w:cs="Times New Roman"/>
          <w:color w:val="000000"/>
          <w:sz w:val="26"/>
          <w:szCs w:val="26"/>
        </w:rPr>
        <w:t> N 115-ФЗ.</w:t>
      </w:r>
    </w:p>
    <w:p w:rsidR="00CF5185" w:rsidRDefault="00CF5185" w:rsidP="00CF5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430A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 учетом изложенного, прошу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Межведомственную Комиссию Центрального </w:t>
      </w:r>
      <w:r w:rsidRPr="003430A5">
        <w:rPr>
          <w:rFonts w:ascii="Times New Roman" w:eastAsia="Calibri" w:hAnsi="Times New Roman" w:cs="Times New Roman"/>
          <w:color w:val="000000"/>
          <w:sz w:val="26"/>
          <w:szCs w:val="26"/>
        </w:rPr>
        <w:t>Банк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а Российской Федерации отменить решение АО «Тинькофф банк» об отказе дистанционного обслуживания счета №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000000000000000000000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, принадлежащего Клиенту и обязать АО «Тинькофф банк» вернуть дистанционное обслуживание указанного счета.</w:t>
      </w:r>
    </w:p>
    <w:p w:rsidR="00CF5185" w:rsidRDefault="00CF5185" w:rsidP="00CF51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F5185" w:rsidRPr="003430A5" w:rsidRDefault="00CF5185" w:rsidP="00CF51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430A5">
        <w:rPr>
          <w:rFonts w:ascii="Times New Roman" w:eastAsia="Calibri" w:hAnsi="Times New Roman" w:cs="Times New Roman"/>
          <w:b/>
          <w:bCs/>
          <w:sz w:val="26"/>
          <w:szCs w:val="26"/>
        </w:rPr>
        <w:t>Приложение:</w:t>
      </w:r>
    </w:p>
    <w:p w:rsidR="00CF5185" w:rsidRDefault="00CF5185" w:rsidP="00CF5185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доверенность на представителя</w:t>
      </w:r>
      <w:r w:rsidRPr="003430A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F5185" w:rsidRDefault="00CF5185" w:rsidP="00CF5185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переписка в чате с АО «Тинькофф Банк» в приложении Банка;</w:t>
      </w:r>
    </w:p>
    <w:p w:rsidR="00CF5185" w:rsidRPr="003430A5" w:rsidRDefault="00CF5185" w:rsidP="00CF5185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претензия от 20.06.2022 в АО «Тинькофф Банк»;</w:t>
      </w:r>
    </w:p>
    <w:p w:rsidR="00CF5185" w:rsidRPr="003430A5" w:rsidRDefault="00CF5185" w:rsidP="00CF5185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430A5">
        <w:rPr>
          <w:rFonts w:ascii="Times New Roman" w:eastAsia="Calibri" w:hAnsi="Times New Roman" w:cs="Times New Roman"/>
          <w:sz w:val="26"/>
          <w:szCs w:val="26"/>
        </w:rPr>
        <w:t>excel</w:t>
      </w:r>
      <w:proofErr w:type="spellEnd"/>
      <w:r w:rsidRPr="003430A5">
        <w:rPr>
          <w:rFonts w:ascii="Times New Roman" w:eastAsia="Calibri" w:hAnsi="Times New Roman" w:cs="Times New Roman"/>
          <w:sz w:val="26"/>
          <w:szCs w:val="26"/>
        </w:rPr>
        <w:t xml:space="preserve">-таблица с комментарием к каждой операции Клиента. Данная таблица поделена на три раздела: 1) операции с участием криптовалюты; 2) подробные пояснения своего экономического поведения по поводу операций с участием криптовалюты; 3) операции, связанные с бытовыми расходами. К каждой операции прикреплен скриншот из приложения «Тинькофф банк» и дан подробный комментарий. </w:t>
      </w:r>
    </w:p>
    <w:p w:rsidR="00CF5185" w:rsidRPr="003430A5" w:rsidRDefault="00CF5185" w:rsidP="00CF5185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0A5">
        <w:rPr>
          <w:rFonts w:ascii="Times New Roman" w:eastAsia="Calibri" w:hAnsi="Times New Roman" w:cs="Times New Roman"/>
          <w:sz w:val="26"/>
          <w:szCs w:val="26"/>
        </w:rPr>
        <w:t>справка о доходах и суммах налога физического лица за 2021 год (налоговый агент АО «Тинькофф банк»;</w:t>
      </w:r>
    </w:p>
    <w:p w:rsidR="00CF5185" w:rsidRPr="003430A5" w:rsidRDefault="00CF5185" w:rsidP="00CF5185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0A5">
        <w:rPr>
          <w:rFonts w:ascii="Times New Roman" w:eastAsia="Calibri" w:hAnsi="Times New Roman" w:cs="Times New Roman"/>
          <w:sz w:val="26"/>
          <w:szCs w:val="26"/>
        </w:rPr>
        <w:t>справка о доходах и суммах налога физического лица за 2021 год (налоговый агент ООО «</w:t>
      </w:r>
      <w:proofErr w:type="spellStart"/>
      <w:proofErr w:type="gramStart"/>
      <w:r w:rsidRPr="003430A5">
        <w:rPr>
          <w:rFonts w:ascii="Times New Roman" w:eastAsia="Calibri" w:hAnsi="Times New Roman" w:cs="Times New Roman"/>
          <w:sz w:val="26"/>
          <w:szCs w:val="26"/>
        </w:rPr>
        <w:t>БК»Марафон</w:t>
      </w:r>
      <w:proofErr w:type="spellEnd"/>
      <w:proofErr w:type="gramEnd"/>
      <w:r w:rsidRPr="003430A5">
        <w:rPr>
          <w:rFonts w:ascii="Times New Roman" w:eastAsia="Calibri" w:hAnsi="Times New Roman" w:cs="Times New Roman"/>
          <w:sz w:val="26"/>
          <w:szCs w:val="26"/>
        </w:rPr>
        <w:t>»);</w:t>
      </w:r>
    </w:p>
    <w:p w:rsidR="00CF5185" w:rsidRPr="003430A5" w:rsidRDefault="00CF5185" w:rsidP="00CF5185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0A5">
        <w:rPr>
          <w:rFonts w:ascii="Times New Roman" w:eastAsia="Calibri" w:hAnsi="Times New Roman" w:cs="Times New Roman"/>
          <w:sz w:val="26"/>
          <w:szCs w:val="26"/>
        </w:rPr>
        <w:t>справка о доходах и суммах налога физического лица за 2021 год (налоговый агент ООО «Компания БКС»;</w:t>
      </w:r>
    </w:p>
    <w:p w:rsidR="00CF5185" w:rsidRPr="003430A5" w:rsidRDefault="00CF5185" w:rsidP="00CF5185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0A5">
        <w:rPr>
          <w:rFonts w:ascii="Times New Roman" w:eastAsia="Calibri" w:hAnsi="Times New Roman" w:cs="Times New Roman"/>
          <w:sz w:val="26"/>
          <w:szCs w:val="26"/>
        </w:rPr>
        <w:t>налоговая декларация за 2021 год;</w:t>
      </w:r>
    </w:p>
    <w:p w:rsidR="00CF5185" w:rsidRPr="003430A5" w:rsidRDefault="00CF5185" w:rsidP="00CF5185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0A5">
        <w:rPr>
          <w:rFonts w:ascii="Times New Roman" w:eastAsia="Calibri" w:hAnsi="Times New Roman" w:cs="Times New Roman"/>
          <w:sz w:val="26"/>
          <w:szCs w:val="26"/>
        </w:rPr>
        <w:t>выписка со счета Клиента в АО «БКС Банк» с 01.01.2022 по 09.06.2022;</w:t>
      </w:r>
    </w:p>
    <w:p w:rsidR="00CF5185" w:rsidRPr="003430A5" w:rsidRDefault="00CF5185" w:rsidP="00CF5185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5185" w:rsidRPr="003430A5" w:rsidRDefault="00CF5185" w:rsidP="00CF5185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5185" w:rsidRPr="003430A5" w:rsidRDefault="00CF5185" w:rsidP="00CF5185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0A5">
        <w:rPr>
          <w:rFonts w:ascii="Times New Roman" w:eastAsia="Calibri" w:hAnsi="Times New Roman" w:cs="Times New Roman"/>
          <w:sz w:val="26"/>
          <w:szCs w:val="26"/>
        </w:rPr>
        <w:t xml:space="preserve">Представитель </w:t>
      </w:r>
      <w:r>
        <w:rPr>
          <w:rFonts w:ascii="Times New Roman" w:eastAsia="Calibri" w:hAnsi="Times New Roman" w:cs="Times New Roman"/>
          <w:sz w:val="26"/>
          <w:szCs w:val="26"/>
        </w:rPr>
        <w:t>ФИО-1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</w:t>
      </w:r>
      <w:r w:rsidRPr="003430A5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3430A5">
        <w:rPr>
          <w:rFonts w:ascii="Times New Roman" w:eastAsia="Calibri" w:hAnsi="Times New Roman" w:cs="Times New Roman"/>
          <w:sz w:val="26"/>
          <w:szCs w:val="26"/>
        </w:rPr>
        <w:t>_____________/</w:t>
      </w:r>
      <w:r>
        <w:rPr>
          <w:rFonts w:ascii="Times New Roman" w:eastAsia="Calibri" w:hAnsi="Times New Roman" w:cs="Times New Roman"/>
          <w:sz w:val="26"/>
          <w:szCs w:val="26"/>
        </w:rPr>
        <w:t xml:space="preserve">А.С.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Будкевич</w:t>
      </w:r>
      <w:proofErr w:type="spellEnd"/>
      <w:r w:rsidRPr="003430A5">
        <w:rPr>
          <w:rFonts w:ascii="Times New Roman" w:eastAsia="Calibri" w:hAnsi="Times New Roman" w:cs="Times New Roman"/>
          <w:sz w:val="26"/>
          <w:szCs w:val="26"/>
        </w:rPr>
        <w:t>/</w:t>
      </w:r>
    </w:p>
    <w:p w:rsidR="006B40C1" w:rsidRPr="00CF5185" w:rsidRDefault="00CF5185" w:rsidP="00CF5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0A5">
        <w:rPr>
          <w:rFonts w:ascii="Times New Roman" w:eastAsia="Calibri" w:hAnsi="Times New Roman" w:cs="Times New Roman"/>
          <w:sz w:val="26"/>
          <w:szCs w:val="26"/>
        </w:rPr>
        <w:t xml:space="preserve">    0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3430A5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3430A5">
        <w:rPr>
          <w:rFonts w:ascii="Times New Roman" w:eastAsia="Calibri" w:hAnsi="Times New Roman" w:cs="Times New Roman"/>
          <w:sz w:val="26"/>
          <w:szCs w:val="26"/>
        </w:rPr>
        <w:t>.2022</w:t>
      </w:r>
    </w:p>
    <w:sectPr w:rsidR="006B40C1" w:rsidRPr="00CF518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6C24" w:rsidRDefault="00CC6C24" w:rsidP="0021488B">
      <w:pPr>
        <w:spacing w:after="0" w:line="240" w:lineRule="auto"/>
      </w:pPr>
      <w:r>
        <w:separator/>
      </w:r>
    </w:p>
  </w:endnote>
  <w:endnote w:type="continuationSeparator" w:id="0">
    <w:p w:rsidR="00CC6C24" w:rsidRDefault="00CC6C24" w:rsidP="0021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361628770"/>
      <w:docPartObj>
        <w:docPartGallery w:val="Page Numbers (Bottom of Page)"/>
        <w:docPartUnique/>
      </w:docPartObj>
    </w:sdtPr>
    <w:sdtContent>
      <w:p w:rsidR="0021488B" w:rsidRPr="006B40C1" w:rsidRDefault="0021488B">
        <w:pPr>
          <w:pStyle w:val="a7"/>
          <w:jc w:val="center"/>
          <w:rPr>
            <w:rFonts w:ascii="Times New Roman" w:hAnsi="Times New Roman" w:cs="Times New Roman"/>
          </w:rPr>
        </w:pPr>
        <w:r w:rsidRPr="006B40C1">
          <w:rPr>
            <w:rFonts w:ascii="Times New Roman" w:hAnsi="Times New Roman" w:cs="Times New Roman"/>
          </w:rPr>
          <w:fldChar w:fldCharType="begin"/>
        </w:r>
        <w:r w:rsidRPr="006B40C1">
          <w:rPr>
            <w:rFonts w:ascii="Times New Roman" w:hAnsi="Times New Roman" w:cs="Times New Roman"/>
          </w:rPr>
          <w:instrText>PAGE   \* MERGEFORMAT</w:instrText>
        </w:r>
        <w:r w:rsidRPr="006B40C1">
          <w:rPr>
            <w:rFonts w:ascii="Times New Roman" w:hAnsi="Times New Roman" w:cs="Times New Roman"/>
          </w:rPr>
          <w:fldChar w:fldCharType="separate"/>
        </w:r>
        <w:r w:rsidR="005B2E77" w:rsidRPr="006B40C1">
          <w:rPr>
            <w:rFonts w:ascii="Times New Roman" w:hAnsi="Times New Roman" w:cs="Times New Roman"/>
            <w:noProof/>
          </w:rPr>
          <w:t>2</w:t>
        </w:r>
        <w:r w:rsidRPr="006B40C1">
          <w:rPr>
            <w:rFonts w:ascii="Times New Roman" w:hAnsi="Times New Roman" w:cs="Times New Roman"/>
          </w:rPr>
          <w:fldChar w:fldCharType="end"/>
        </w:r>
      </w:p>
    </w:sdtContent>
  </w:sdt>
  <w:p w:rsidR="0021488B" w:rsidRDefault="002148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6C24" w:rsidRDefault="00CC6C24" w:rsidP="0021488B">
      <w:pPr>
        <w:spacing w:after="0" w:line="240" w:lineRule="auto"/>
      </w:pPr>
      <w:r>
        <w:separator/>
      </w:r>
    </w:p>
  </w:footnote>
  <w:footnote w:type="continuationSeparator" w:id="0">
    <w:p w:rsidR="00CC6C24" w:rsidRDefault="00CC6C24" w:rsidP="00214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32A"/>
    <w:multiLevelType w:val="hybridMultilevel"/>
    <w:tmpl w:val="5748F6E6"/>
    <w:lvl w:ilvl="0" w:tplc="2F203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D64DAC"/>
    <w:multiLevelType w:val="hybridMultilevel"/>
    <w:tmpl w:val="B32E8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C6615"/>
    <w:multiLevelType w:val="hybridMultilevel"/>
    <w:tmpl w:val="B32E8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C2EBB"/>
    <w:multiLevelType w:val="hybridMultilevel"/>
    <w:tmpl w:val="F820748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E36093"/>
    <w:multiLevelType w:val="hybridMultilevel"/>
    <w:tmpl w:val="5A468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A552A58"/>
    <w:multiLevelType w:val="hybridMultilevel"/>
    <w:tmpl w:val="351268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CFF6B3B"/>
    <w:multiLevelType w:val="hybridMultilevel"/>
    <w:tmpl w:val="7568A4DC"/>
    <w:lvl w:ilvl="0" w:tplc="F4DAE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62539240">
    <w:abstractNumId w:val="4"/>
  </w:num>
  <w:num w:numId="2" w16cid:durableId="975721135">
    <w:abstractNumId w:val="3"/>
  </w:num>
  <w:num w:numId="3" w16cid:durableId="1889797051">
    <w:abstractNumId w:val="1"/>
  </w:num>
  <w:num w:numId="4" w16cid:durableId="872419928">
    <w:abstractNumId w:val="2"/>
  </w:num>
  <w:num w:numId="5" w16cid:durableId="896940083">
    <w:abstractNumId w:val="6"/>
  </w:num>
  <w:num w:numId="6" w16cid:durableId="1572154051">
    <w:abstractNumId w:val="5"/>
  </w:num>
  <w:num w:numId="7" w16cid:durableId="130836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BC"/>
    <w:rsid w:val="000030EB"/>
    <w:rsid w:val="000304A1"/>
    <w:rsid w:val="000453DB"/>
    <w:rsid w:val="00081A92"/>
    <w:rsid w:val="000A70FF"/>
    <w:rsid w:val="000D480F"/>
    <w:rsid w:val="000D672E"/>
    <w:rsid w:val="000F4C03"/>
    <w:rsid w:val="000F70FE"/>
    <w:rsid w:val="00121070"/>
    <w:rsid w:val="00135864"/>
    <w:rsid w:val="00152274"/>
    <w:rsid w:val="00154EB4"/>
    <w:rsid w:val="001A22FF"/>
    <w:rsid w:val="001A6419"/>
    <w:rsid w:val="00211FAA"/>
    <w:rsid w:val="0021488B"/>
    <w:rsid w:val="00223E58"/>
    <w:rsid w:val="002446D5"/>
    <w:rsid w:val="00262DB1"/>
    <w:rsid w:val="00280B43"/>
    <w:rsid w:val="00285091"/>
    <w:rsid w:val="00290A27"/>
    <w:rsid w:val="00292748"/>
    <w:rsid w:val="002B28F5"/>
    <w:rsid w:val="002D7A1C"/>
    <w:rsid w:val="002F02E4"/>
    <w:rsid w:val="002F6294"/>
    <w:rsid w:val="002F778E"/>
    <w:rsid w:val="0033474C"/>
    <w:rsid w:val="00345B2B"/>
    <w:rsid w:val="00353DEC"/>
    <w:rsid w:val="00362C1E"/>
    <w:rsid w:val="00370137"/>
    <w:rsid w:val="00385965"/>
    <w:rsid w:val="003C40BD"/>
    <w:rsid w:val="003D05B7"/>
    <w:rsid w:val="003E25A4"/>
    <w:rsid w:val="003E6944"/>
    <w:rsid w:val="0040453B"/>
    <w:rsid w:val="00404978"/>
    <w:rsid w:val="00406FC3"/>
    <w:rsid w:val="0042384B"/>
    <w:rsid w:val="00424BAE"/>
    <w:rsid w:val="00435E97"/>
    <w:rsid w:val="004615BC"/>
    <w:rsid w:val="00467ADB"/>
    <w:rsid w:val="00474E2E"/>
    <w:rsid w:val="004766A6"/>
    <w:rsid w:val="004911C8"/>
    <w:rsid w:val="00493E15"/>
    <w:rsid w:val="00494838"/>
    <w:rsid w:val="004974D3"/>
    <w:rsid w:val="004B182E"/>
    <w:rsid w:val="004C1E26"/>
    <w:rsid w:val="004C2B81"/>
    <w:rsid w:val="004D0DC5"/>
    <w:rsid w:val="004E2A1A"/>
    <w:rsid w:val="004F5F0F"/>
    <w:rsid w:val="005200AB"/>
    <w:rsid w:val="00525669"/>
    <w:rsid w:val="00542BDB"/>
    <w:rsid w:val="00551D8D"/>
    <w:rsid w:val="005B116C"/>
    <w:rsid w:val="005B2E77"/>
    <w:rsid w:val="005C56FE"/>
    <w:rsid w:val="005F203F"/>
    <w:rsid w:val="00634A83"/>
    <w:rsid w:val="00635BEB"/>
    <w:rsid w:val="00651B7B"/>
    <w:rsid w:val="00651EDC"/>
    <w:rsid w:val="00661858"/>
    <w:rsid w:val="00666E3A"/>
    <w:rsid w:val="006714CF"/>
    <w:rsid w:val="00694850"/>
    <w:rsid w:val="006B40C1"/>
    <w:rsid w:val="006C4B93"/>
    <w:rsid w:val="006D2694"/>
    <w:rsid w:val="006E4754"/>
    <w:rsid w:val="007002F7"/>
    <w:rsid w:val="00710433"/>
    <w:rsid w:val="00710D04"/>
    <w:rsid w:val="0071171F"/>
    <w:rsid w:val="00712DC0"/>
    <w:rsid w:val="00727ACB"/>
    <w:rsid w:val="00746E14"/>
    <w:rsid w:val="00785D41"/>
    <w:rsid w:val="00795AEF"/>
    <w:rsid w:val="00796D2C"/>
    <w:rsid w:val="007973AD"/>
    <w:rsid w:val="007A7105"/>
    <w:rsid w:val="007B3232"/>
    <w:rsid w:val="007D3AC1"/>
    <w:rsid w:val="007E62C2"/>
    <w:rsid w:val="007F4A5B"/>
    <w:rsid w:val="007F5171"/>
    <w:rsid w:val="00800C69"/>
    <w:rsid w:val="00804B24"/>
    <w:rsid w:val="00815DBC"/>
    <w:rsid w:val="00830108"/>
    <w:rsid w:val="008476A7"/>
    <w:rsid w:val="00856398"/>
    <w:rsid w:val="008856C0"/>
    <w:rsid w:val="00892C16"/>
    <w:rsid w:val="008941CE"/>
    <w:rsid w:val="008B388B"/>
    <w:rsid w:val="008C205D"/>
    <w:rsid w:val="008C6266"/>
    <w:rsid w:val="008F2301"/>
    <w:rsid w:val="008F71D8"/>
    <w:rsid w:val="0091720A"/>
    <w:rsid w:val="009205F3"/>
    <w:rsid w:val="0092188E"/>
    <w:rsid w:val="009276D6"/>
    <w:rsid w:val="00927CCF"/>
    <w:rsid w:val="00952864"/>
    <w:rsid w:val="00961008"/>
    <w:rsid w:val="00967B30"/>
    <w:rsid w:val="00967F77"/>
    <w:rsid w:val="00993EB9"/>
    <w:rsid w:val="009C1FA4"/>
    <w:rsid w:val="009D3C52"/>
    <w:rsid w:val="009F3089"/>
    <w:rsid w:val="00A04B16"/>
    <w:rsid w:val="00A246D4"/>
    <w:rsid w:val="00A456B8"/>
    <w:rsid w:val="00A533BF"/>
    <w:rsid w:val="00A54D39"/>
    <w:rsid w:val="00A6063B"/>
    <w:rsid w:val="00A62E05"/>
    <w:rsid w:val="00A72E18"/>
    <w:rsid w:val="00A86EFF"/>
    <w:rsid w:val="00A9095A"/>
    <w:rsid w:val="00A95313"/>
    <w:rsid w:val="00AA65E1"/>
    <w:rsid w:val="00AE04F8"/>
    <w:rsid w:val="00AF526F"/>
    <w:rsid w:val="00AF5F85"/>
    <w:rsid w:val="00B25A09"/>
    <w:rsid w:val="00B34EE4"/>
    <w:rsid w:val="00B35F71"/>
    <w:rsid w:val="00B4057D"/>
    <w:rsid w:val="00B50EC3"/>
    <w:rsid w:val="00B54023"/>
    <w:rsid w:val="00B7534C"/>
    <w:rsid w:val="00B81B06"/>
    <w:rsid w:val="00B82FBF"/>
    <w:rsid w:val="00B84015"/>
    <w:rsid w:val="00BB11CF"/>
    <w:rsid w:val="00BB4BED"/>
    <w:rsid w:val="00BD0B3E"/>
    <w:rsid w:val="00C003A6"/>
    <w:rsid w:val="00C0121B"/>
    <w:rsid w:val="00C03D8F"/>
    <w:rsid w:val="00C10A24"/>
    <w:rsid w:val="00C179D7"/>
    <w:rsid w:val="00C64FC0"/>
    <w:rsid w:val="00C86014"/>
    <w:rsid w:val="00C9663F"/>
    <w:rsid w:val="00CC6C24"/>
    <w:rsid w:val="00CD514E"/>
    <w:rsid w:val="00CE5080"/>
    <w:rsid w:val="00CF38E0"/>
    <w:rsid w:val="00CF5185"/>
    <w:rsid w:val="00D17C94"/>
    <w:rsid w:val="00D464C8"/>
    <w:rsid w:val="00D916C8"/>
    <w:rsid w:val="00DA0863"/>
    <w:rsid w:val="00DA2B61"/>
    <w:rsid w:val="00DA51D8"/>
    <w:rsid w:val="00DB1A1C"/>
    <w:rsid w:val="00DC2AE2"/>
    <w:rsid w:val="00DD49DA"/>
    <w:rsid w:val="00DD5B40"/>
    <w:rsid w:val="00DD60B7"/>
    <w:rsid w:val="00DE3B40"/>
    <w:rsid w:val="00DE6E79"/>
    <w:rsid w:val="00DF6272"/>
    <w:rsid w:val="00DF6659"/>
    <w:rsid w:val="00E11296"/>
    <w:rsid w:val="00E17095"/>
    <w:rsid w:val="00E204B2"/>
    <w:rsid w:val="00E22FBC"/>
    <w:rsid w:val="00E40C57"/>
    <w:rsid w:val="00E414FD"/>
    <w:rsid w:val="00E47469"/>
    <w:rsid w:val="00E47C5E"/>
    <w:rsid w:val="00E5435D"/>
    <w:rsid w:val="00E60F98"/>
    <w:rsid w:val="00E71B6C"/>
    <w:rsid w:val="00E75BB5"/>
    <w:rsid w:val="00E8141D"/>
    <w:rsid w:val="00E87558"/>
    <w:rsid w:val="00E93407"/>
    <w:rsid w:val="00EB276F"/>
    <w:rsid w:val="00EB38EA"/>
    <w:rsid w:val="00ED1E1F"/>
    <w:rsid w:val="00ED254C"/>
    <w:rsid w:val="00EE3A2E"/>
    <w:rsid w:val="00F1056C"/>
    <w:rsid w:val="00F25F0D"/>
    <w:rsid w:val="00F4048A"/>
    <w:rsid w:val="00F40959"/>
    <w:rsid w:val="00F87C8F"/>
    <w:rsid w:val="00FC6D18"/>
    <w:rsid w:val="00FD33EF"/>
    <w:rsid w:val="00FE05FA"/>
    <w:rsid w:val="00FF0A1B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54A2A"/>
  <w15:docId w15:val="{388D589B-4805-7A44-94CE-4EFF8CE5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B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ED254C"/>
    <w:pPr>
      <w:spacing w:after="0" w:line="240" w:lineRule="auto"/>
    </w:pPr>
  </w:style>
  <w:style w:type="paragraph" w:customStyle="1" w:styleId="paragraph">
    <w:name w:val="paragraph"/>
    <w:basedOn w:val="a"/>
    <w:rsid w:val="008F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F2301"/>
  </w:style>
  <w:style w:type="character" w:customStyle="1" w:styleId="eop">
    <w:name w:val="eop"/>
    <w:basedOn w:val="a0"/>
    <w:rsid w:val="008F2301"/>
  </w:style>
  <w:style w:type="character" w:customStyle="1" w:styleId="spellingerror">
    <w:name w:val="spellingerror"/>
    <w:basedOn w:val="a0"/>
    <w:rsid w:val="008F2301"/>
  </w:style>
  <w:style w:type="paragraph" w:styleId="a5">
    <w:name w:val="header"/>
    <w:basedOn w:val="a"/>
    <w:link w:val="a6"/>
    <w:uiPriority w:val="99"/>
    <w:unhideWhenUsed/>
    <w:rsid w:val="0021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488B"/>
  </w:style>
  <w:style w:type="paragraph" w:styleId="a7">
    <w:name w:val="footer"/>
    <w:basedOn w:val="a"/>
    <w:link w:val="a8"/>
    <w:uiPriority w:val="99"/>
    <w:unhideWhenUsed/>
    <w:rsid w:val="0021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88B"/>
  </w:style>
  <w:style w:type="character" w:styleId="a9">
    <w:name w:val="Hyperlink"/>
    <w:basedOn w:val="a0"/>
    <w:uiPriority w:val="99"/>
    <w:unhideWhenUsed/>
    <w:rsid w:val="002F629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3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0108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6B4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sk-leg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39B3-4F36-47CC-94C4-D842A133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Ксения Басаргина</cp:lastModifiedBy>
  <cp:revision>2</cp:revision>
  <cp:lastPrinted>2022-04-20T14:07:00Z</cp:lastPrinted>
  <dcterms:created xsi:type="dcterms:W3CDTF">2023-08-16T21:59:00Z</dcterms:created>
  <dcterms:modified xsi:type="dcterms:W3CDTF">2023-08-16T21:59:00Z</dcterms:modified>
</cp:coreProperties>
</file>