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43434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434343"/>
          <w:spacing w:val="0"/>
          <w:sz w:val="24"/>
        </w:rPr>
        <w:t>По Вашему запросу об основаниях увольнения главного бухгалтера нашими специалистами проанализирована правовая база и сложившаяся судебная практика. С учетом предоставленной Вами информации считаем наиболее безопасным для организации увольнение сотрудника по соглашению сторон. Однако в случае, если прийти к соглашению между работником и работодателем не удается, то предлагаются следующие основания и способы увольнения.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52</Words>
  <Characters>370</Characters>
  <CharactersWithSpaces>421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2020-07-09T18:36:25Z</dcterms:created>
  <dc:creator/>
  <dc:description/>
  <dc:language>ru-RU</dc:language>
  <cp:lastModifiedBy/>
  <dcterms:modified xsi:type="dcterms:W3CDTF">2020-07-09T18:36:48Z</dcterms:modified>
  <cp:revision>1</cp:revision>
  <dc:subject/>
  <dc:title/>
</cp:coreProperties>
</file>