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CC56B" w14:textId="77777777" w:rsidR="00691F1F" w:rsidRPr="004371CC" w:rsidRDefault="00691F1F" w:rsidP="00114CBF">
      <w:pPr>
        <w:spacing w:before="120"/>
        <w:jc w:val="right"/>
        <w:rPr>
          <w:b/>
          <w:sz w:val="24"/>
        </w:rPr>
      </w:pPr>
      <w:r w:rsidRPr="004371CC">
        <w:rPr>
          <w:b/>
          <w:sz w:val="24"/>
        </w:rPr>
        <w:t>А.К.Н.</w:t>
      </w:r>
    </w:p>
    <w:p w14:paraId="189E8B64" w14:textId="77777777" w:rsidR="00691F1F" w:rsidRPr="004371CC" w:rsidRDefault="00691F1F" w:rsidP="00114CBF">
      <w:pPr>
        <w:spacing w:before="120"/>
        <w:jc w:val="right"/>
        <w:rPr>
          <w:b/>
          <w:sz w:val="24"/>
        </w:rPr>
      </w:pPr>
    </w:p>
    <w:p w14:paraId="155635ED" w14:textId="77777777" w:rsidR="00691F1F" w:rsidRPr="00114CBF" w:rsidRDefault="00691F1F" w:rsidP="00114CBF">
      <w:pPr>
        <w:jc w:val="right"/>
        <w:rPr>
          <w:b/>
          <w:sz w:val="24"/>
        </w:rPr>
      </w:pPr>
      <w:r w:rsidRPr="00114CBF">
        <w:rPr>
          <w:b/>
          <w:sz w:val="24"/>
        </w:rPr>
        <w:t>от юриста</w:t>
      </w:r>
    </w:p>
    <w:p w14:paraId="275F7A39" w14:textId="77777777" w:rsidR="00691F1F" w:rsidRPr="00114CBF" w:rsidRDefault="00691F1F" w:rsidP="00114CBF">
      <w:pPr>
        <w:jc w:val="right"/>
        <w:rPr>
          <w:sz w:val="24"/>
        </w:rPr>
      </w:pPr>
      <w:r w:rsidRPr="00114CBF">
        <w:rPr>
          <w:sz w:val="24"/>
        </w:rPr>
        <w:t>Курьянова А.А.</w:t>
      </w:r>
    </w:p>
    <w:p w14:paraId="14E0AE3B" w14:textId="77777777" w:rsidR="00691F1F" w:rsidRPr="00114CBF" w:rsidRDefault="00691F1F" w:rsidP="00114CBF">
      <w:pPr>
        <w:keepLines/>
        <w:jc w:val="right"/>
        <w:rPr>
          <w:sz w:val="24"/>
        </w:rPr>
      </w:pPr>
      <w:r w:rsidRPr="00114CBF">
        <w:rPr>
          <w:sz w:val="24"/>
        </w:rPr>
        <w:t>Юридическое бюро «</w:t>
      </w:r>
      <w:r w:rsidRPr="00114CBF">
        <w:rPr>
          <w:sz w:val="24"/>
          <w:lang w:val="en-GB"/>
        </w:rPr>
        <w:t>Moscow</w:t>
      </w:r>
      <w:r w:rsidRPr="00114CBF">
        <w:rPr>
          <w:sz w:val="24"/>
        </w:rPr>
        <w:t xml:space="preserve"> </w:t>
      </w:r>
      <w:r w:rsidRPr="00114CBF">
        <w:rPr>
          <w:sz w:val="24"/>
          <w:lang w:val="en-GB"/>
        </w:rPr>
        <w:t>legal</w:t>
      </w:r>
      <w:r w:rsidRPr="00114CBF">
        <w:rPr>
          <w:sz w:val="24"/>
        </w:rPr>
        <w:t>»</w:t>
      </w:r>
    </w:p>
    <w:p w14:paraId="0A88D8E4" w14:textId="77777777" w:rsidR="00691F1F" w:rsidRPr="00114CBF" w:rsidRDefault="00691F1F" w:rsidP="00114CBF">
      <w:pPr>
        <w:keepLines/>
        <w:ind w:left="4242" w:firstLine="708"/>
        <w:jc w:val="right"/>
        <w:rPr>
          <w:sz w:val="24"/>
        </w:rPr>
      </w:pPr>
      <w:r w:rsidRPr="00114CBF">
        <w:rPr>
          <w:sz w:val="24"/>
        </w:rPr>
        <w:t>г. Москва, ул. Маросейка, д. 2/15</w:t>
      </w:r>
    </w:p>
    <w:p w14:paraId="3EF552EF" w14:textId="77777777" w:rsidR="00691F1F" w:rsidRPr="00114CBF" w:rsidRDefault="00E02930" w:rsidP="00114CBF">
      <w:pPr>
        <w:keepLines/>
        <w:ind w:left="4242" w:firstLine="708"/>
        <w:jc w:val="right"/>
        <w:rPr>
          <w:sz w:val="24"/>
        </w:rPr>
      </w:pPr>
      <w:hyperlink r:id="rId7" w:history="1">
        <w:r w:rsidR="00691F1F" w:rsidRPr="00114CBF">
          <w:rPr>
            <w:rStyle w:val="ad"/>
            <w:color w:val="auto"/>
            <w:sz w:val="24"/>
            <w:u w:val="none"/>
            <w:lang w:val="en-US"/>
          </w:rPr>
          <w:t>http</w:t>
        </w:r>
        <w:r w:rsidR="00691F1F" w:rsidRPr="00114CBF">
          <w:rPr>
            <w:rStyle w:val="ad"/>
            <w:color w:val="auto"/>
            <w:sz w:val="24"/>
            <w:u w:val="none"/>
          </w:rPr>
          <w:t>://</w:t>
        </w:r>
        <w:r w:rsidR="00691F1F" w:rsidRPr="00114CBF">
          <w:rPr>
            <w:rStyle w:val="ad"/>
            <w:color w:val="auto"/>
            <w:sz w:val="24"/>
            <w:u w:val="none"/>
            <w:lang w:val="en-US"/>
          </w:rPr>
          <w:t>msk</w:t>
        </w:r>
        <w:r w:rsidR="00691F1F" w:rsidRPr="00114CBF">
          <w:rPr>
            <w:rStyle w:val="ad"/>
            <w:color w:val="auto"/>
            <w:sz w:val="24"/>
            <w:u w:val="none"/>
          </w:rPr>
          <w:t>-</w:t>
        </w:r>
        <w:r w:rsidR="00691F1F" w:rsidRPr="00114CBF">
          <w:rPr>
            <w:rStyle w:val="ad"/>
            <w:color w:val="auto"/>
            <w:sz w:val="24"/>
            <w:u w:val="none"/>
            <w:lang w:val="en-US"/>
          </w:rPr>
          <w:t>legal</w:t>
        </w:r>
        <w:r w:rsidR="00691F1F" w:rsidRPr="00114CBF">
          <w:rPr>
            <w:rStyle w:val="ad"/>
            <w:color w:val="auto"/>
            <w:sz w:val="24"/>
            <w:u w:val="none"/>
          </w:rPr>
          <w:t>.</w:t>
        </w:r>
        <w:r w:rsidR="00691F1F" w:rsidRPr="00114CBF">
          <w:rPr>
            <w:rStyle w:val="ad"/>
            <w:color w:val="auto"/>
            <w:sz w:val="24"/>
            <w:u w:val="none"/>
            <w:lang w:val="en-US"/>
          </w:rPr>
          <w:t>ru</w:t>
        </w:r>
      </w:hyperlink>
    </w:p>
    <w:p w14:paraId="647B65D3" w14:textId="77777777" w:rsidR="00691F1F" w:rsidRPr="00114CBF" w:rsidRDefault="00691F1F" w:rsidP="00114CBF">
      <w:pPr>
        <w:keepLines/>
        <w:ind w:left="4242" w:firstLine="708"/>
        <w:jc w:val="right"/>
        <w:rPr>
          <w:sz w:val="24"/>
        </w:rPr>
      </w:pPr>
      <w:r w:rsidRPr="00114CBF">
        <w:rPr>
          <w:sz w:val="24"/>
        </w:rPr>
        <w:t xml:space="preserve">тел: </w:t>
      </w:r>
      <w:r w:rsidR="00B6419A">
        <w:rPr>
          <w:sz w:val="24"/>
        </w:rPr>
        <w:t>8(495)664-55-96</w:t>
      </w:r>
    </w:p>
    <w:p w14:paraId="6CFE4909" w14:textId="77777777" w:rsidR="00691F1F" w:rsidRPr="00CB0FB0" w:rsidRDefault="00691F1F" w:rsidP="0027327F">
      <w:pPr>
        <w:spacing w:before="120"/>
        <w:jc w:val="center"/>
        <w:rPr>
          <w:szCs w:val="28"/>
        </w:rPr>
      </w:pPr>
    </w:p>
    <w:p w14:paraId="7244C1FF" w14:textId="77777777" w:rsidR="00691F1F" w:rsidRDefault="00691F1F" w:rsidP="00114CBF">
      <w:pPr>
        <w:rPr>
          <w:szCs w:val="28"/>
        </w:rPr>
      </w:pPr>
    </w:p>
    <w:p w14:paraId="52D34AD9" w14:textId="77777777" w:rsidR="00691F1F" w:rsidRPr="00114CBF" w:rsidRDefault="00691F1F" w:rsidP="00807F19">
      <w:pPr>
        <w:jc w:val="center"/>
        <w:rPr>
          <w:sz w:val="24"/>
        </w:rPr>
      </w:pPr>
      <w:r w:rsidRPr="00114CBF">
        <w:rPr>
          <w:sz w:val="24"/>
        </w:rPr>
        <w:t>Уважаемый К.Н.!</w:t>
      </w:r>
    </w:p>
    <w:p w14:paraId="0EEB4060" w14:textId="77777777" w:rsidR="00691F1F" w:rsidRPr="00114CBF" w:rsidRDefault="00691F1F" w:rsidP="00807F19">
      <w:pPr>
        <w:jc w:val="center"/>
        <w:rPr>
          <w:sz w:val="24"/>
        </w:rPr>
      </w:pPr>
    </w:p>
    <w:p w14:paraId="721158AC" w14:textId="77777777" w:rsidR="00691F1F" w:rsidRPr="00114CBF" w:rsidRDefault="00691F1F" w:rsidP="00114CBF">
      <w:pPr>
        <w:pStyle w:val="ConsPlusNonformat"/>
        <w:widowControl/>
        <w:ind w:firstLine="709"/>
        <w:jc w:val="both"/>
        <w:rPr>
          <w:rFonts w:ascii="Times New Roman" w:hAnsi="Times New Roman" w:cs="Times New Roman"/>
          <w:sz w:val="24"/>
          <w:szCs w:val="24"/>
        </w:rPr>
      </w:pPr>
      <w:r w:rsidRPr="00114CBF">
        <w:rPr>
          <w:rFonts w:ascii="Times New Roman" w:hAnsi="Times New Roman" w:cs="Times New Roman"/>
          <w:sz w:val="24"/>
          <w:szCs w:val="24"/>
        </w:rPr>
        <w:t>Настоящим сообщаю Вам, что «13» сентября 2011 года Вами, А.К.Н., 21.10.1984 г.р., зарегистрированным по адресу: г. Краснодар, ул. Майкопская, Осипенко дом 48 и В.В.А., 15.12.1981 г.р., был заключен Предварительный Договор купли-продажи жилого помещения (типа дом) и земельного участка б/н от 13.10.2011г. – далее Договор.</w:t>
      </w:r>
    </w:p>
    <w:p w14:paraId="1E83A85C" w14:textId="77777777" w:rsidR="00691F1F" w:rsidRPr="00114CBF" w:rsidRDefault="00691F1F" w:rsidP="00114CBF">
      <w:pPr>
        <w:pStyle w:val="ConsPlusNonformat"/>
        <w:widowControl/>
        <w:ind w:firstLine="709"/>
        <w:jc w:val="both"/>
        <w:rPr>
          <w:rFonts w:ascii="Times New Roman" w:hAnsi="Times New Roman" w:cs="Times New Roman"/>
          <w:sz w:val="24"/>
          <w:szCs w:val="24"/>
        </w:rPr>
      </w:pPr>
      <w:r w:rsidRPr="00114CBF">
        <w:rPr>
          <w:rFonts w:ascii="Times New Roman" w:hAnsi="Times New Roman" w:cs="Times New Roman"/>
          <w:sz w:val="24"/>
          <w:szCs w:val="24"/>
        </w:rPr>
        <w:t>Указанный Договор считается незаключенным по следующим основаниям:</w:t>
      </w:r>
    </w:p>
    <w:p w14:paraId="3BDE9E39" w14:textId="77777777" w:rsidR="00691F1F" w:rsidRPr="00114CBF" w:rsidRDefault="00691F1F" w:rsidP="00114CBF">
      <w:pPr>
        <w:numPr>
          <w:ilvl w:val="0"/>
          <w:numId w:val="2"/>
        </w:numPr>
        <w:tabs>
          <w:tab w:val="left" w:pos="900"/>
        </w:tabs>
        <w:autoSpaceDE w:val="0"/>
        <w:autoSpaceDN w:val="0"/>
        <w:adjustRightInd w:val="0"/>
        <w:ind w:left="0" w:firstLine="357"/>
        <w:jc w:val="both"/>
        <w:outlineLvl w:val="3"/>
        <w:rPr>
          <w:sz w:val="24"/>
        </w:rPr>
      </w:pPr>
      <w:r w:rsidRPr="00114CBF">
        <w:rPr>
          <w:sz w:val="24"/>
        </w:rPr>
        <w:t>Согласно п. 1.1. Договора Продавец обязуется передать в собственность земельный участок площадью ориентировочно 400 кв.м., который является 1/2 от общего участка 848 кв.м., фактический раздел которого обязуется произвести Продавец. Однако на основании условий Договора не представляется возможным определенно установить, какой именно участок подлежит передаче, нет данных по его точному размеру, форме, расположению. Согласно п. 3 ст. 429 ГК РФ 3. Предварительный договор должен содержать условия, позволяющие установить предмет, а также другие существенные условия основного договора, согласно ст. 554 ГК РФ 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 На основании изложенного, руководствуясь ст. ст. 429 и 554 указанный Договор</w:t>
      </w:r>
      <w:r w:rsidRPr="00114CBF">
        <w:rPr>
          <w:b/>
          <w:sz w:val="24"/>
        </w:rPr>
        <w:t xml:space="preserve"> </w:t>
      </w:r>
      <w:r w:rsidRPr="00114CBF">
        <w:rPr>
          <w:sz w:val="24"/>
        </w:rPr>
        <w:t xml:space="preserve">является незаключенным. В подтверждение указанной позиции имеется следующая судебная практика: </w:t>
      </w:r>
      <w:hyperlink r:id="rId8" w:history="1">
        <w:r w:rsidRPr="00114CBF">
          <w:rPr>
            <w:sz w:val="24"/>
          </w:rPr>
          <w:t>Определение</w:t>
        </w:r>
      </w:hyperlink>
      <w:r w:rsidRPr="00114CBF">
        <w:rPr>
          <w:sz w:val="24"/>
        </w:rPr>
        <w:t xml:space="preserve"> ВАС РФ от 08.07.2010, </w:t>
      </w:r>
      <w:hyperlink r:id="rId9" w:history="1">
        <w:r w:rsidRPr="00114CBF">
          <w:rPr>
            <w:bCs/>
            <w:sz w:val="24"/>
          </w:rPr>
          <w:t>Определение</w:t>
        </w:r>
      </w:hyperlink>
      <w:r w:rsidRPr="00114CBF">
        <w:rPr>
          <w:bCs/>
          <w:sz w:val="24"/>
        </w:rPr>
        <w:t xml:space="preserve"> ВАС РФ от 23.12.2009, </w:t>
      </w:r>
      <w:hyperlink r:id="rId10" w:history="1">
        <w:r w:rsidRPr="00114CBF">
          <w:rPr>
            <w:bCs/>
            <w:sz w:val="24"/>
          </w:rPr>
          <w:t>Постановление</w:t>
        </w:r>
      </w:hyperlink>
      <w:r w:rsidRPr="00114CBF">
        <w:rPr>
          <w:bCs/>
          <w:sz w:val="24"/>
        </w:rPr>
        <w:t xml:space="preserve"> ФАС Западно-Сибирского округа от 13.11.2009, </w:t>
      </w:r>
      <w:hyperlink r:id="rId11" w:history="1">
        <w:r w:rsidRPr="00114CBF">
          <w:rPr>
            <w:bCs/>
            <w:sz w:val="24"/>
          </w:rPr>
          <w:t>Постановление</w:t>
        </w:r>
      </w:hyperlink>
      <w:r w:rsidRPr="00114CBF">
        <w:rPr>
          <w:bCs/>
          <w:sz w:val="24"/>
        </w:rPr>
        <w:t xml:space="preserve"> ФАС Уральского округа от 25.08.2009, </w:t>
      </w:r>
      <w:hyperlink r:id="rId12" w:history="1">
        <w:r w:rsidRPr="00114CBF">
          <w:rPr>
            <w:sz w:val="24"/>
          </w:rPr>
          <w:t>Постановление</w:t>
        </w:r>
      </w:hyperlink>
      <w:r w:rsidRPr="00114CBF">
        <w:rPr>
          <w:sz w:val="24"/>
        </w:rPr>
        <w:t xml:space="preserve"> ФАС Восточно-Сибирского округа от 30.04.2009,</w:t>
      </w:r>
      <w:r w:rsidRPr="00114CBF">
        <w:rPr>
          <w:i/>
          <w:sz w:val="24"/>
        </w:rPr>
        <w:t xml:space="preserve"> </w:t>
      </w:r>
      <w:hyperlink r:id="rId13" w:history="1">
        <w:r w:rsidRPr="00114CBF">
          <w:rPr>
            <w:bCs/>
            <w:sz w:val="24"/>
          </w:rPr>
          <w:t>Постановление</w:t>
        </w:r>
      </w:hyperlink>
      <w:r w:rsidRPr="00114CBF">
        <w:rPr>
          <w:bCs/>
          <w:sz w:val="24"/>
        </w:rPr>
        <w:t xml:space="preserve"> ФАС Московского округа от 18.02.2009.</w:t>
      </w:r>
    </w:p>
    <w:p w14:paraId="6668D183" w14:textId="77777777" w:rsidR="00691F1F" w:rsidRPr="00114CBF" w:rsidRDefault="00691F1F" w:rsidP="00114CBF">
      <w:pPr>
        <w:numPr>
          <w:ilvl w:val="0"/>
          <w:numId w:val="2"/>
        </w:numPr>
        <w:tabs>
          <w:tab w:val="left" w:pos="900"/>
        </w:tabs>
        <w:autoSpaceDE w:val="0"/>
        <w:autoSpaceDN w:val="0"/>
        <w:adjustRightInd w:val="0"/>
        <w:ind w:left="0" w:firstLine="357"/>
        <w:jc w:val="both"/>
        <w:outlineLvl w:val="3"/>
        <w:rPr>
          <w:sz w:val="24"/>
        </w:rPr>
      </w:pPr>
      <w:r w:rsidRPr="00114CBF">
        <w:rPr>
          <w:sz w:val="24"/>
        </w:rPr>
        <w:t xml:space="preserve">Также согласно п. 1.1. Договора Продавец обязуется передать в собственность объект недвижимости (жилой дом) площадью ориентировочно 131.1 кв.м. Данное определение предмета Договора не позволяет установить предмет купли-продажи, отсутствует точная информация о площади, имеющиеся чертежи носят схематический характер, нет информации о материалах, этажности, фундаменте дома, его расположении на земельном участке, отсутствует привязка к местности, нет иных существенных характеристик объекта недвижимости. На основании изложенного, руководствуясь ст. ст. 429 и 554 указанный Договор является незаключенным. В подтверждение указанной позиции имеется следующая судебная практика: </w:t>
      </w:r>
      <w:hyperlink r:id="rId14" w:history="1">
        <w:r w:rsidRPr="00114CBF">
          <w:rPr>
            <w:bCs/>
            <w:sz w:val="24"/>
          </w:rPr>
          <w:t>Постановление</w:t>
        </w:r>
      </w:hyperlink>
      <w:r w:rsidRPr="00114CBF">
        <w:rPr>
          <w:bCs/>
          <w:sz w:val="24"/>
        </w:rPr>
        <w:t xml:space="preserve"> ФАС Западно-Сибирского округа от 22.06.2011 по делу, </w:t>
      </w:r>
      <w:hyperlink r:id="rId15" w:history="1">
        <w:r w:rsidRPr="00114CBF">
          <w:rPr>
            <w:sz w:val="24"/>
          </w:rPr>
          <w:t>Постановление</w:t>
        </w:r>
      </w:hyperlink>
      <w:r w:rsidRPr="00114CBF">
        <w:rPr>
          <w:sz w:val="24"/>
        </w:rPr>
        <w:t xml:space="preserve"> ФАС Московского округа от 31.03.2011.</w:t>
      </w:r>
    </w:p>
    <w:p w14:paraId="5E3A8281" w14:textId="77777777" w:rsidR="00691F1F" w:rsidRPr="00114CBF" w:rsidRDefault="00691F1F" w:rsidP="00114CBF">
      <w:pPr>
        <w:numPr>
          <w:ilvl w:val="0"/>
          <w:numId w:val="2"/>
        </w:numPr>
        <w:tabs>
          <w:tab w:val="left" w:pos="900"/>
        </w:tabs>
        <w:autoSpaceDE w:val="0"/>
        <w:autoSpaceDN w:val="0"/>
        <w:adjustRightInd w:val="0"/>
        <w:ind w:left="0" w:firstLine="357"/>
        <w:jc w:val="both"/>
        <w:outlineLvl w:val="3"/>
        <w:rPr>
          <w:sz w:val="24"/>
        </w:rPr>
      </w:pPr>
      <w:r w:rsidRPr="00114CBF">
        <w:rPr>
          <w:sz w:val="24"/>
        </w:rPr>
        <w:t xml:space="preserve">Согласно п. 3.1. Договора общая стоимость имущества подлежащего передаче по основному договору составила 4200000 рублей. Согласно п. 3.2. Договора Покупатель оплатил 1800000 рублей до заключения основного Договора купли-продажи, в рамках исполнения обязательств по «предварительному» Договору, что подтверждается расписками. Однако по смыслу </w:t>
      </w:r>
      <w:hyperlink r:id="rId16" w:history="1">
        <w:r w:rsidRPr="00114CBF">
          <w:rPr>
            <w:sz w:val="24"/>
          </w:rPr>
          <w:t>ст. 429</w:t>
        </w:r>
      </w:hyperlink>
      <w:r w:rsidRPr="00114CBF">
        <w:rPr>
          <w:sz w:val="24"/>
        </w:rPr>
        <w:t xml:space="preserve"> ГК РФ лица, заключившие предварительный договор, имеют единственную обязанность - заключить в будущем основной договор и </w:t>
      </w:r>
      <w:r w:rsidRPr="00114CBF">
        <w:rPr>
          <w:sz w:val="24"/>
        </w:rPr>
        <w:lastRenderedPageBreak/>
        <w:t xml:space="preserve">право требовать от другой стороны заключения основного договора. Правовая природа предварительных договоренностей, с точки зрения их самостоятельного значения, не предполагает возникновения обязательственных отношений имущественного характера, вытекающих из будущего договора. То есть законодательство не предусматривает возможность оплаты денежных средств по предварительному Договору. Это подтверждается обширной судебной практикой: </w:t>
      </w:r>
      <w:hyperlink r:id="rId17" w:history="1">
        <w:r w:rsidRPr="00114CBF">
          <w:rPr>
            <w:sz w:val="24"/>
          </w:rPr>
          <w:t>Постановление</w:t>
        </w:r>
      </w:hyperlink>
      <w:r w:rsidRPr="00114CBF">
        <w:rPr>
          <w:sz w:val="24"/>
        </w:rPr>
        <w:t xml:space="preserve"> Восемнадцатого арбитражного апелляционного суда от 28.12.2010, </w:t>
      </w:r>
      <w:hyperlink r:id="rId18" w:history="1">
        <w:r w:rsidRPr="00114CBF">
          <w:rPr>
            <w:sz w:val="24"/>
          </w:rPr>
          <w:t>Постановление</w:t>
        </w:r>
      </w:hyperlink>
      <w:r w:rsidRPr="00114CBF">
        <w:rPr>
          <w:sz w:val="24"/>
        </w:rPr>
        <w:t xml:space="preserve"> Третьего арбитражного апелляционного суда от 28.12.2010, </w:t>
      </w:r>
      <w:hyperlink r:id="rId19" w:history="1">
        <w:r w:rsidRPr="00114CBF">
          <w:rPr>
            <w:sz w:val="24"/>
          </w:rPr>
          <w:t>Постановление</w:t>
        </w:r>
      </w:hyperlink>
      <w:r w:rsidRPr="00114CBF">
        <w:rPr>
          <w:sz w:val="24"/>
        </w:rPr>
        <w:t xml:space="preserve"> Десятого арбитражного апелляционного суда от 20.12.2010, </w:t>
      </w:r>
      <w:hyperlink r:id="rId20" w:history="1">
        <w:r w:rsidRPr="00114CBF">
          <w:rPr>
            <w:sz w:val="24"/>
          </w:rPr>
          <w:t>Постановление</w:t>
        </w:r>
      </w:hyperlink>
      <w:r w:rsidRPr="00114CBF">
        <w:rPr>
          <w:sz w:val="24"/>
        </w:rPr>
        <w:t xml:space="preserve"> ФАС Поволжского округа от 14.12.2010, </w:t>
      </w:r>
      <w:hyperlink r:id="rId21" w:history="1">
        <w:r w:rsidRPr="00114CBF">
          <w:rPr>
            <w:sz w:val="24"/>
          </w:rPr>
          <w:t>Постановление</w:t>
        </w:r>
      </w:hyperlink>
      <w:r w:rsidRPr="00114CBF">
        <w:rPr>
          <w:sz w:val="24"/>
        </w:rPr>
        <w:t xml:space="preserve"> Восемнадцатого арбитражного апелляционного суда от 25.11.2010, </w:t>
      </w:r>
      <w:hyperlink r:id="rId22" w:history="1">
        <w:r w:rsidRPr="00114CBF">
          <w:rPr>
            <w:sz w:val="24"/>
          </w:rPr>
          <w:t>Постановление</w:t>
        </w:r>
      </w:hyperlink>
      <w:r w:rsidRPr="00114CBF">
        <w:rPr>
          <w:sz w:val="24"/>
        </w:rPr>
        <w:t xml:space="preserve"> Девятого арбитражного апелляционного суда от 22.11.2010, </w:t>
      </w:r>
      <w:hyperlink r:id="rId23" w:history="1">
        <w:r w:rsidRPr="00114CBF">
          <w:rPr>
            <w:sz w:val="24"/>
          </w:rPr>
          <w:t>Постановление</w:t>
        </w:r>
      </w:hyperlink>
      <w:r w:rsidRPr="00114CBF">
        <w:rPr>
          <w:sz w:val="24"/>
        </w:rPr>
        <w:t xml:space="preserve"> Семнадцатого арбитражного апелляционного суда от 02.07.2010, </w:t>
      </w:r>
      <w:hyperlink r:id="rId24" w:history="1">
        <w:r w:rsidRPr="00114CBF">
          <w:rPr>
            <w:sz w:val="24"/>
          </w:rPr>
          <w:t>Постановление</w:t>
        </w:r>
      </w:hyperlink>
      <w:r w:rsidRPr="00114CBF">
        <w:rPr>
          <w:sz w:val="24"/>
        </w:rPr>
        <w:t xml:space="preserve"> ФАС Поволжского округа от 29.06.2010, </w:t>
      </w:r>
      <w:hyperlink r:id="rId25" w:history="1">
        <w:r w:rsidRPr="00114CBF">
          <w:rPr>
            <w:sz w:val="24"/>
          </w:rPr>
          <w:t>Постановление</w:t>
        </w:r>
      </w:hyperlink>
      <w:r w:rsidRPr="00114CBF">
        <w:rPr>
          <w:sz w:val="24"/>
        </w:rPr>
        <w:t xml:space="preserve"> Третьего арбитражного апелляционного суда от 30.04.2010. Согласно ст. 1102 ГК РФ </w:t>
      </w:r>
      <w:r w:rsidRPr="00114CBF">
        <w:rPr>
          <w:iCs/>
          <w:sz w:val="24"/>
        </w:rPr>
        <w:t>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На основании вышеизложенного, руководствуясь ст. 1102 ГК РФ денежные средства в размере 1800000 рублей, полученные Покупателем являются неосновательным обогащением и подлежат возврату.</w:t>
      </w:r>
    </w:p>
    <w:p w14:paraId="05AD68A2" w14:textId="77777777" w:rsidR="00691F1F" w:rsidRPr="00114CBF" w:rsidRDefault="00691F1F" w:rsidP="00114CBF">
      <w:pPr>
        <w:autoSpaceDE w:val="0"/>
        <w:autoSpaceDN w:val="0"/>
        <w:adjustRightInd w:val="0"/>
        <w:ind w:firstLine="709"/>
        <w:jc w:val="both"/>
        <w:outlineLvl w:val="2"/>
        <w:rPr>
          <w:sz w:val="24"/>
        </w:rPr>
      </w:pPr>
      <w:r w:rsidRPr="00114CBF">
        <w:rPr>
          <w:iCs/>
          <w:sz w:val="24"/>
        </w:rPr>
        <w:t xml:space="preserve">Прошу Вас в рамках досудебного урегулирования спора незамедлительно, в срок до «23» февраля 2012г., вернуть </w:t>
      </w:r>
      <w:r w:rsidRPr="00114CBF">
        <w:rPr>
          <w:sz w:val="24"/>
        </w:rPr>
        <w:t>В.В.А. денежные средства:</w:t>
      </w:r>
    </w:p>
    <w:p w14:paraId="6893B331" w14:textId="77777777" w:rsidR="00691F1F" w:rsidRPr="00114CBF" w:rsidRDefault="00691F1F" w:rsidP="00114CBF">
      <w:pPr>
        <w:autoSpaceDE w:val="0"/>
        <w:autoSpaceDN w:val="0"/>
        <w:adjustRightInd w:val="0"/>
        <w:ind w:firstLine="709"/>
        <w:jc w:val="both"/>
        <w:outlineLvl w:val="2"/>
        <w:rPr>
          <w:sz w:val="24"/>
        </w:rPr>
      </w:pPr>
      <w:r w:rsidRPr="00114CBF">
        <w:rPr>
          <w:sz w:val="24"/>
        </w:rPr>
        <w:t>- неосновательное обогащение согласно ст. 1102 ГК РФ, в размере 1800000 рублей;</w:t>
      </w:r>
    </w:p>
    <w:p w14:paraId="054E3C51" w14:textId="77777777" w:rsidR="00691F1F" w:rsidRPr="00114CBF" w:rsidRDefault="00691F1F" w:rsidP="00114CBF">
      <w:pPr>
        <w:autoSpaceDE w:val="0"/>
        <w:autoSpaceDN w:val="0"/>
        <w:adjustRightInd w:val="0"/>
        <w:ind w:firstLine="709"/>
        <w:jc w:val="both"/>
        <w:outlineLvl w:val="2"/>
        <w:rPr>
          <w:sz w:val="24"/>
        </w:rPr>
      </w:pPr>
      <w:r w:rsidRPr="00114CBF">
        <w:rPr>
          <w:sz w:val="24"/>
        </w:rPr>
        <w:t>- в рамках ответственности за пользование чужими денежными средствами согласно ст. 395, в размере 60025 рублей;</w:t>
      </w:r>
    </w:p>
    <w:p w14:paraId="256C96EA" w14:textId="77777777" w:rsidR="00691F1F" w:rsidRPr="00114CBF" w:rsidRDefault="00691F1F" w:rsidP="00114CBF">
      <w:pPr>
        <w:autoSpaceDE w:val="0"/>
        <w:autoSpaceDN w:val="0"/>
        <w:adjustRightInd w:val="0"/>
        <w:ind w:firstLine="709"/>
        <w:jc w:val="both"/>
        <w:outlineLvl w:val="2"/>
        <w:rPr>
          <w:sz w:val="24"/>
        </w:rPr>
      </w:pPr>
      <w:r w:rsidRPr="00114CBF">
        <w:rPr>
          <w:sz w:val="24"/>
        </w:rPr>
        <w:t>- компенсацию за моральный вред согласно ст.1099 ГК РФ, в размере 150000 рублей;</w:t>
      </w:r>
    </w:p>
    <w:p w14:paraId="51E65E48" w14:textId="77777777" w:rsidR="00691F1F" w:rsidRPr="00114CBF" w:rsidRDefault="00691F1F" w:rsidP="00114CBF">
      <w:pPr>
        <w:autoSpaceDE w:val="0"/>
        <w:autoSpaceDN w:val="0"/>
        <w:adjustRightInd w:val="0"/>
        <w:ind w:firstLine="709"/>
        <w:jc w:val="both"/>
        <w:outlineLvl w:val="2"/>
        <w:rPr>
          <w:sz w:val="24"/>
        </w:rPr>
      </w:pPr>
      <w:r w:rsidRPr="00114CBF">
        <w:rPr>
          <w:sz w:val="24"/>
        </w:rPr>
        <w:t>В случае неоплаты Вами требований в добровольном порядке мы будем вынуждены обратиться в Суд для защиты своих законных интересов, что повлечет для Вас дополнительные расходы:</w:t>
      </w:r>
    </w:p>
    <w:p w14:paraId="0DBBD0BE" w14:textId="77777777" w:rsidR="00691F1F" w:rsidRPr="00114CBF" w:rsidRDefault="00691F1F" w:rsidP="00114CBF">
      <w:pPr>
        <w:ind w:firstLine="709"/>
        <w:jc w:val="both"/>
        <w:rPr>
          <w:sz w:val="24"/>
        </w:rPr>
      </w:pPr>
      <w:r w:rsidRPr="00114CBF">
        <w:rPr>
          <w:sz w:val="24"/>
        </w:rPr>
        <w:t>- арест недвижимого имеющегося недвижимого и иного имущества в целях обеспечения исполнения требований;</w:t>
      </w:r>
    </w:p>
    <w:p w14:paraId="7943C1AB" w14:textId="77777777" w:rsidR="00691F1F" w:rsidRPr="00114CBF" w:rsidRDefault="00691F1F" w:rsidP="00114CBF">
      <w:pPr>
        <w:ind w:firstLine="709"/>
        <w:jc w:val="both"/>
        <w:rPr>
          <w:sz w:val="24"/>
        </w:rPr>
      </w:pPr>
      <w:r w:rsidRPr="00114CBF">
        <w:rPr>
          <w:sz w:val="24"/>
        </w:rPr>
        <w:t>- увеличение размера требований на срок вынесения решения Суда (ст. 395 ГК РФ);</w:t>
      </w:r>
    </w:p>
    <w:p w14:paraId="3769A340" w14:textId="77777777" w:rsidR="00691F1F" w:rsidRPr="00114CBF" w:rsidRDefault="00691F1F" w:rsidP="00114CBF">
      <w:pPr>
        <w:ind w:firstLine="709"/>
        <w:jc w:val="both"/>
        <w:rPr>
          <w:sz w:val="24"/>
        </w:rPr>
      </w:pPr>
      <w:r w:rsidRPr="00114CBF">
        <w:rPr>
          <w:sz w:val="24"/>
        </w:rPr>
        <w:t>- Уплата судебных издержек и услуг представителя (ст. 106 АПК РФ);</w:t>
      </w:r>
    </w:p>
    <w:p w14:paraId="6AA897E7" w14:textId="77777777" w:rsidR="00691F1F" w:rsidRPr="00114CBF" w:rsidRDefault="00691F1F" w:rsidP="00114CBF">
      <w:pPr>
        <w:ind w:firstLine="709"/>
        <w:jc w:val="both"/>
        <w:rPr>
          <w:sz w:val="24"/>
        </w:rPr>
      </w:pPr>
      <w:r w:rsidRPr="00114CBF">
        <w:rPr>
          <w:sz w:val="24"/>
        </w:rPr>
        <w:t>- Уплата государственной пошлины (ст.102,110 АПК РФ);</w:t>
      </w:r>
    </w:p>
    <w:p w14:paraId="60D867F6" w14:textId="77777777" w:rsidR="00691F1F" w:rsidRPr="00114CBF" w:rsidRDefault="00691F1F" w:rsidP="00114CBF">
      <w:pPr>
        <w:ind w:firstLine="709"/>
        <w:jc w:val="both"/>
        <w:rPr>
          <w:sz w:val="24"/>
        </w:rPr>
      </w:pPr>
      <w:r w:rsidRPr="00114CBF">
        <w:rPr>
          <w:sz w:val="24"/>
        </w:rPr>
        <w:t>- Увеличение размера убытков и морального вреда (ст.15, 524 ГК РФ).</w:t>
      </w:r>
    </w:p>
    <w:p w14:paraId="6919298C" w14:textId="77777777" w:rsidR="00691F1F" w:rsidRPr="00114CBF" w:rsidRDefault="00691F1F" w:rsidP="00114CBF">
      <w:pPr>
        <w:autoSpaceDE w:val="0"/>
        <w:autoSpaceDN w:val="0"/>
        <w:adjustRightInd w:val="0"/>
        <w:ind w:firstLine="709"/>
        <w:jc w:val="both"/>
        <w:outlineLvl w:val="2"/>
        <w:rPr>
          <w:sz w:val="24"/>
        </w:rPr>
      </w:pPr>
      <w:r w:rsidRPr="00114CBF">
        <w:rPr>
          <w:sz w:val="24"/>
        </w:rPr>
        <w:t xml:space="preserve">Кроме того, в рамках работы по данному делу специалистами нашего бюро будет проанализирована уголовно-правовая составляющая Ваших действий. В случае обнаружения признаков состава преступления следственными органами будет возбуждено уголовное дело по факту мошенничества (ст. 159 УК РФ). </w:t>
      </w:r>
    </w:p>
    <w:p w14:paraId="055BD041" w14:textId="77777777" w:rsidR="00691F1F" w:rsidRPr="00114CBF" w:rsidRDefault="00691F1F" w:rsidP="00114CBF">
      <w:pPr>
        <w:spacing w:before="120"/>
        <w:jc w:val="both"/>
        <w:rPr>
          <w:sz w:val="24"/>
        </w:rPr>
      </w:pPr>
    </w:p>
    <w:p w14:paraId="2E5112C6" w14:textId="77777777" w:rsidR="00691F1F" w:rsidRPr="00114CBF" w:rsidRDefault="00691F1F" w:rsidP="0027327F">
      <w:pPr>
        <w:spacing w:before="120"/>
        <w:ind w:firstLine="540"/>
        <w:jc w:val="both"/>
        <w:rPr>
          <w:sz w:val="24"/>
        </w:rPr>
      </w:pPr>
      <w:r w:rsidRPr="00114CBF">
        <w:rPr>
          <w:sz w:val="24"/>
        </w:rPr>
        <w:t>С уважением,</w:t>
      </w:r>
    </w:p>
    <w:p w14:paraId="774A0281" w14:textId="77777777" w:rsidR="00691F1F" w:rsidRPr="00114CBF" w:rsidRDefault="00691F1F" w:rsidP="0027327F">
      <w:pPr>
        <w:spacing w:before="120"/>
        <w:ind w:firstLine="540"/>
        <w:jc w:val="both"/>
        <w:rPr>
          <w:sz w:val="24"/>
        </w:rPr>
      </w:pPr>
      <w:r w:rsidRPr="00114CBF">
        <w:rPr>
          <w:sz w:val="24"/>
        </w:rPr>
        <w:t>представитель по доверенности                                           А.А. Курьянов</w:t>
      </w:r>
    </w:p>
    <w:p w14:paraId="6D4F0120" w14:textId="77777777" w:rsidR="00691F1F" w:rsidRPr="00114CBF" w:rsidRDefault="00691F1F" w:rsidP="0027327F">
      <w:pPr>
        <w:spacing w:before="120" w:after="100" w:afterAutospacing="1"/>
        <w:ind w:firstLine="539"/>
        <w:jc w:val="both"/>
        <w:rPr>
          <w:sz w:val="24"/>
        </w:rPr>
      </w:pPr>
    </w:p>
    <w:p w14:paraId="0AEB28FB" w14:textId="77777777" w:rsidR="00691F1F" w:rsidRPr="00114CBF" w:rsidRDefault="00691F1F" w:rsidP="0027327F">
      <w:pPr>
        <w:spacing w:before="120" w:after="100" w:afterAutospacing="1"/>
        <w:ind w:firstLine="539"/>
        <w:jc w:val="both"/>
        <w:rPr>
          <w:sz w:val="24"/>
        </w:rPr>
      </w:pPr>
      <w:r w:rsidRPr="00114CBF">
        <w:rPr>
          <w:sz w:val="24"/>
        </w:rPr>
        <w:t xml:space="preserve">«10» февраля </w:t>
      </w:r>
      <w:smartTag w:uri="urn:schemas-microsoft-com:office:smarttags" w:element="metricconverter">
        <w:smartTagPr>
          <w:attr w:name="ProductID" w:val="2012 г"/>
        </w:smartTagPr>
        <w:r w:rsidRPr="00114CBF">
          <w:rPr>
            <w:sz w:val="24"/>
          </w:rPr>
          <w:t>2012 г</w:t>
        </w:r>
      </w:smartTag>
      <w:r w:rsidRPr="00114CBF">
        <w:rPr>
          <w:sz w:val="24"/>
        </w:rPr>
        <w:t>.</w:t>
      </w:r>
    </w:p>
    <w:sectPr w:rsidR="00691F1F" w:rsidRPr="00114CBF" w:rsidSect="00114CBF">
      <w:headerReference w:type="even" r:id="rId26"/>
      <w:headerReference w:type="default" r:id="rId27"/>
      <w:footerReference w:type="even" r:id="rId28"/>
      <w:footerReference w:type="default" r:id="rId29"/>
      <w:headerReference w:type="first" r:id="rId30"/>
      <w:footerReference w:type="first" r:id="rId31"/>
      <w:pgSz w:w="11907" w:h="16840" w:code="9"/>
      <w:pgMar w:top="1134" w:right="850" w:bottom="540"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4AE52" w14:textId="77777777" w:rsidR="00FF402D" w:rsidRDefault="00FF402D">
      <w:r>
        <w:separator/>
      </w:r>
    </w:p>
  </w:endnote>
  <w:endnote w:type="continuationSeparator" w:id="0">
    <w:p w14:paraId="43545D00" w14:textId="77777777" w:rsidR="00FF402D" w:rsidRDefault="00FF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66B8B" w14:textId="77777777" w:rsidR="00B6419A" w:rsidRDefault="00B641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31347" w14:textId="77777777" w:rsidR="00B6419A" w:rsidRDefault="00B6419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FCC59" w14:textId="77777777" w:rsidR="00B6419A" w:rsidRDefault="00B641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FDE80" w14:textId="77777777" w:rsidR="00FF402D" w:rsidRDefault="00FF402D">
      <w:r>
        <w:separator/>
      </w:r>
    </w:p>
  </w:footnote>
  <w:footnote w:type="continuationSeparator" w:id="0">
    <w:p w14:paraId="5045B209" w14:textId="77777777" w:rsidR="00FF402D" w:rsidRDefault="00FF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5E5D8" w14:textId="77777777" w:rsidR="00B6419A" w:rsidRDefault="00B6419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5E8E" w14:textId="77777777" w:rsidR="00B6419A" w:rsidRDefault="00B6419A">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DB80D" w14:textId="77777777" w:rsidR="00B6419A" w:rsidRDefault="00B6419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C92"/>
    <w:multiLevelType w:val="hybridMultilevel"/>
    <w:tmpl w:val="4342C5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ABE75EA"/>
    <w:multiLevelType w:val="hybridMultilevel"/>
    <w:tmpl w:val="D18C737A"/>
    <w:lvl w:ilvl="0" w:tplc="126E8B12">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8FC"/>
    <w:rsid w:val="00007AC6"/>
    <w:rsid w:val="00017EBD"/>
    <w:rsid w:val="00025E49"/>
    <w:rsid w:val="0003307B"/>
    <w:rsid w:val="00044F27"/>
    <w:rsid w:val="00047E23"/>
    <w:rsid w:val="00075FEB"/>
    <w:rsid w:val="00077CE9"/>
    <w:rsid w:val="000804AE"/>
    <w:rsid w:val="00085099"/>
    <w:rsid w:val="000940BF"/>
    <w:rsid w:val="000B1EF3"/>
    <w:rsid w:val="000B3E26"/>
    <w:rsid w:val="000B5CAA"/>
    <w:rsid w:val="00110883"/>
    <w:rsid w:val="00114CBF"/>
    <w:rsid w:val="00136C0D"/>
    <w:rsid w:val="00141025"/>
    <w:rsid w:val="00145195"/>
    <w:rsid w:val="00155CFF"/>
    <w:rsid w:val="0016510C"/>
    <w:rsid w:val="001668FC"/>
    <w:rsid w:val="0019479F"/>
    <w:rsid w:val="001E4908"/>
    <w:rsid w:val="0020070F"/>
    <w:rsid w:val="00214E98"/>
    <w:rsid w:val="00237617"/>
    <w:rsid w:val="002531E6"/>
    <w:rsid w:val="00256875"/>
    <w:rsid w:val="00265AA7"/>
    <w:rsid w:val="00272B01"/>
    <w:rsid w:val="0027327F"/>
    <w:rsid w:val="00287A65"/>
    <w:rsid w:val="002C20E4"/>
    <w:rsid w:val="002C3874"/>
    <w:rsid w:val="002C3DFC"/>
    <w:rsid w:val="002E02DF"/>
    <w:rsid w:val="002E73B0"/>
    <w:rsid w:val="002F4DB6"/>
    <w:rsid w:val="00322F0C"/>
    <w:rsid w:val="00344DBA"/>
    <w:rsid w:val="00345FF9"/>
    <w:rsid w:val="00354621"/>
    <w:rsid w:val="003572EF"/>
    <w:rsid w:val="003577BB"/>
    <w:rsid w:val="00362BB9"/>
    <w:rsid w:val="003801FD"/>
    <w:rsid w:val="003879CE"/>
    <w:rsid w:val="003C6473"/>
    <w:rsid w:val="003D3A71"/>
    <w:rsid w:val="00424E1F"/>
    <w:rsid w:val="004371CC"/>
    <w:rsid w:val="004455B5"/>
    <w:rsid w:val="00476018"/>
    <w:rsid w:val="00494D1F"/>
    <w:rsid w:val="004B05CA"/>
    <w:rsid w:val="004B7D5B"/>
    <w:rsid w:val="004C7388"/>
    <w:rsid w:val="004E1A94"/>
    <w:rsid w:val="004E2293"/>
    <w:rsid w:val="004E7D89"/>
    <w:rsid w:val="00506C15"/>
    <w:rsid w:val="00513012"/>
    <w:rsid w:val="005930E1"/>
    <w:rsid w:val="005A090E"/>
    <w:rsid w:val="005C58ED"/>
    <w:rsid w:val="006100E0"/>
    <w:rsid w:val="00613EC9"/>
    <w:rsid w:val="00615EB0"/>
    <w:rsid w:val="00616A7C"/>
    <w:rsid w:val="00626B7A"/>
    <w:rsid w:val="006772A4"/>
    <w:rsid w:val="00685FAD"/>
    <w:rsid w:val="00691F1F"/>
    <w:rsid w:val="006A6DE2"/>
    <w:rsid w:val="006C31C1"/>
    <w:rsid w:val="006D3D84"/>
    <w:rsid w:val="00716A0E"/>
    <w:rsid w:val="00723690"/>
    <w:rsid w:val="007320AC"/>
    <w:rsid w:val="00763028"/>
    <w:rsid w:val="007A780D"/>
    <w:rsid w:val="007B2EFD"/>
    <w:rsid w:val="007B5CF7"/>
    <w:rsid w:val="007D344C"/>
    <w:rsid w:val="007D532E"/>
    <w:rsid w:val="007D600C"/>
    <w:rsid w:val="00800697"/>
    <w:rsid w:val="00807F19"/>
    <w:rsid w:val="00825085"/>
    <w:rsid w:val="00827ABE"/>
    <w:rsid w:val="00837979"/>
    <w:rsid w:val="00846750"/>
    <w:rsid w:val="00877546"/>
    <w:rsid w:val="00884D09"/>
    <w:rsid w:val="008865C1"/>
    <w:rsid w:val="00890A49"/>
    <w:rsid w:val="008B3F29"/>
    <w:rsid w:val="008C55A1"/>
    <w:rsid w:val="008D5230"/>
    <w:rsid w:val="008D76EB"/>
    <w:rsid w:val="008E1873"/>
    <w:rsid w:val="008E2A1A"/>
    <w:rsid w:val="008E44EF"/>
    <w:rsid w:val="008F12F5"/>
    <w:rsid w:val="008F14A1"/>
    <w:rsid w:val="008F7B68"/>
    <w:rsid w:val="00900A9A"/>
    <w:rsid w:val="0090592D"/>
    <w:rsid w:val="009200D8"/>
    <w:rsid w:val="009468C1"/>
    <w:rsid w:val="00947796"/>
    <w:rsid w:val="009602CF"/>
    <w:rsid w:val="00982513"/>
    <w:rsid w:val="00987B77"/>
    <w:rsid w:val="00A21918"/>
    <w:rsid w:val="00A26385"/>
    <w:rsid w:val="00A37412"/>
    <w:rsid w:val="00A5065B"/>
    <w:rsid w:val="00A70494"/>
    <w:rsid w:val="00A829F8"/>
    <w:rsid w:val="00AA3A0B"/>
    <w:rsid w:val="00AE1BDF"/>
    <w:rsid w:val="00AE7A36"/>
    <w:rsid w:val="00B138D4"/>
    <w:rsid w:val="00B152B1"/>
    <w:rsid w:val="00B159A6"/>
    <w:rsid w:val="00B22D44"/>
    <w:rsid w:val="00B34268"/>
    <w:rsid w:val="00B60E68"/>
    <w:rsid w:val="00B6419A"/>
    <w:rsid w:val="00B6670C"/>
    <w:rsid w:val="00B8372D"/>
    <w:rsid w:val="00B97CF3"/>
    <w:rsid w:val="00BB0B86"/>
    <w:rsid w:val="00BF1A33"/>
    <w:rsid w:val="00C07755"/>
    <w:rsid w:val="00C10092"/>
    <w:rsid w:val="00C42BCE"/>
    <w:rsid w:val="00C52AA6"/>
    <w:rsid w:val="00C626CA"/>
    <w:rsid w:val="00C76FD8"/>
    <w:rsid w:val="00C8395F"/>
    <w:rsid w:val="00CB0FB0"/>
    <w:rsid w:val="00CB6A01"/>
    <w:rsid w:val="00CC1ED7"/>
    <w:rsid w:val="00CC438D"/>
    <w:rsid w:val="00CD3EF4"/>
    <w:rsid w:val="00CD5882"/>
    <w:rsid w:val="00CE282D"/>
    <w:rsid w:val="00CF097A"/>
    <w:rsid w:val="00CF4C2D"/>
    <w:rsid w:val="00D12419"/>
    <w:rsid w:val="00D15950"/>
    <w:rsid w:val="00D27CA4"/>
    <w:rsid w:val="00D57A53"/>
    <w:rsid w:val="00D63570"/>
    <w:rsid w:val="00D910EA"/>
    <w:rsid w:val="00E02930"/>
    <w:rsid w:val="00E37848"/>
    <w:rsid w:val="00E609EC"/>
    <w:rsid w:val="00E669EE"/>
    <w:rsid w:val="00EA0D80"/>
    <w:rsid w:val="00EA4EDB"/>
    <w:rsid w:val="00EB2398"/>
    <w:rsid w:val="00EF2D1F"/>
    <w:rsid w:val="00F10BC4"/>
    <w:rsid w:val="00F156A4"/>
    <w:rsid w:val="00F20D7E"/>
    <w:rsid w:val="00F44F64"/>
    <w:rsid w:val="00F47A7A"/>
    <w:rsid w:val="00F81259"/>
    <w:rsid w:val="00FB1989"/>
    <w:rsid w:val="00FD0209"/>
    <w:rsid w:val="00FD3F69"/>
    <w:rsid w:val="00FD58FC"/>
    <w:rsid w:val="00FF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14:docId w14:val="0516F19B"/>
  <w15:chartTrackingRefBased/>
  <w15:docId w15:val="{5E2DBA7E-D8B6-4B02-9880-223EEDFC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513"/>
    <w:rPr>
      <w:sz w:val="28"/>
      <w:szCs w:val="24"/>
      <w:lang w:val="ru-RU" w:eastAsia="ru-RU"/>
    </w:rPr>
  </w:style>
  <w:style w:type="paragraph" w:styleId="1">
    <w:name w:val="heading 1"/>
    <w:basedOn w:val="a"/>
    <w:next w:val="a"/>
    <w:link w:val="10"/>
    <w:uiPriority w:val="99"/>
    <w:qFormat/>
    <w:rsid w:val="00982513"/>
    <w:pPr>
      <w:keepNext/>
      <w:spacing w:line="192" w:lineRule="auto"/>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982513"/>
    <w:pPr>
      <w:keepNext/>
      <w:jc w:val="both"/>
      <w:outlineLvl w:val="1"/>
    </w:pPr>
    <w:rPr>
      <w:rFonts w:ascii="Cambria" w:hAnsi="Cambria"/>
      <w:b/>
      <w:bCs/>
      <w:i/>
      <w:i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D344C"/>
    <w:rPr>
      <w:rFonts w:ascii="Cambria" w:hAnsi="Cambria" w:cs="Times New Roman"/>
      <w:b/>
      <w:bCs/>
      <w:kern w:val="32"/>
      <w:sz w:val="32"/>
      <w:szCs w:val="32"/>
    </w:rPr>
  </w:style>
  <w:style w:type="character" w:customStyle="1" w:styleId="20">
    <w:name w:val="Заголовок 2 Знак"/>
    <w:link w:val="2"/>
    <w:uiPriority w:val="99"/>
    <w:semiHidden/>
    <w:locked/>
    <w:rsid w:val="007D344C"/>
    <w:rPr>
      <w:rFonts w:ascii="Cambria" w:hAnsi="Cambria" w:cs="Times New Roman"/>
      <w:b/>
      <w:bCs/>
      <w:i/>
      <w:iCs/>
      <w:sz w:val="28"/>
      <w:szCs w:val="28"/>
    </w:rPr>
  </w:style>
  <w:style w:type="paragraph" w:styleId="a3">
    <w:name w:val="Body Text"/>
    <w:basedOn w:val="a"/>
    <w:link w:val="a4"/>
    <w:uiPriority w:val="99"/>
    <w:rsid w:val="00982513"/>
    <w:rPr>
      <w:sz w:val="24"/>
      <w:lang w:val="x-none" w:eastAsia="x-none"/>
    </w:rPr>
  </w:style>
  <w:style w:type="character" w:customStyle="1" w:styleId="a4">
    <w:name w:val="Основной текст Знак"/>
    <w:link w:val="a3"/>
    <w:uiPriority w:val="99"/>
    <w:semiHidden/>
    <w:locked/>
    <w:rsid w:val="007D344C"/>
    <w:rPr>
      <w:rFonts w:cs="Times New Roman"/>
      <w:sz w:val="24"/>
      <w:szCs w:val="24"/>
    </w:rPr>
  </w:style>
  <w:style w:type="paragraph" w:styleId="a5">
    <w:name w:val="footer"/>
    <w:basedOn w:val="a"/>
    <w:link w:val="a6"/>
    <w:uiPriority w:val="99"/>
    <w:rsid w:val="00982513"/>
    <w:pPr>
      <w:tabs>
        <w:tab w:val="center" w:pos="4677"/>
        <w:tab w:val="right" w:pos="9355"/>
      </w:tabs>
    </w:pPr>
    <w:rPr>
      <w:sz w:val="24"/>
      <w:lang w:val="x-none" w:eastAsia="x-none"/>
    </w:rPr>
  </w:style>
  <w:style w:type="character" w:customStyle="1" w:styleId="a6">
    <w:name w:val="Нижний колонтитул Знак"/>
    <w:link w:val="a5"/>
    <w:uiPriority w:val="99"/>
    <w:semiHidden/>
    <w:locked/>
    <w:rsid w:val="007D344C"/>
    <w:rPr>
      <w:rFonts w:cs="Times New Roman"/>
      <w:sz w:val="24"/>
      <w:szCs w:val="24"/>
    </w:rPr>
  </w:style>
  <w:style w:type="character" w:styleId="a7">
    <w:name w:val="page number"/>
    <w:uiPriority w:val="99"/>
    <w:rsid w:val="008F14A1"/>
    <w:rPr>
      <w:rFonts w:cs="Times New Roman"/>
    </w:rPr>
  </w:style>
  <w:style w:type="paragraph" w:styleId="a8">
    <w:name w:val="header"/>
    <w:basedOn w:val="a"/>
    <w:link w:val="a9"/>
    <w:uiPriority w:val="99"/>
    <w:rsid w:val="008F14A1"/>
    <w:pPr>
      <w:tabs>
        <w:tab w:val="center" w:pos="4677"/>
        <w:tab w:val="right" w:pos="9355"/>
      </w:tabs>
    </w:pPr>
    <w:rPr>
      <w:sz w:val="24"/>
      <w:lang w:val="x-none" w:eastAsia="x-none"/>
    </w:rPr>
  </w:style>
  <w:style w:type="character" w:customStyle="1" w:styleId="a9">
    <w:name w:val="Верхний колонтитул Знак"/>
    <w:link w:val="a8"/>
    <w:uiPriority w:val="99"/>
    <w:semiHidden/>
    <w:locked/>
    <w:rsid w:val="00AE7A36"/>
    <w:rPr>
      <w:rFonts w:cs="Times New Roman"/>
      <w:sz w:val="24"/>
      <w:szCs w:val="24"/>
    </w:rPr>
  </w:style>
  <w:style w:type="paragraph" w:styleId="aa">
    <w:name w:val="Balloon Text"/>
    <w:basedOn w:val="a"/>
    <w:link w:val="ab"/>
    <w:uiPriority w:val="99"/>
    <w:semiHidden/>
    <w:rsid w:val="004B05CA"/>
    <w:rPr>
      <w:rFonts w:ascii="Tahoma" w:hAnsi="Tahoma"/>
      <w:sz w:val="16"/>
      <w:szCs w:val="16"/>
      <w:lang w:val="x-none" w:eastAsia="x-none"/>
    </w:rPr>
  </w:style>
  <w:style w:type="character" w:customStyle="1" w:styleId="ab">
    <w:name w:val="Текст выноски Знак"/>
    <w:link w:val="aa"/>
    <w:uiPriority w:val="99"/>
    <w:semiHidden/>
    <w:locked/>
    <w:rsid w:val="004B05CA"/>
    <w:rPr>
      <w:rFonts w:ascii="Tahoma" w:hAnsi="Tahoma" w:cs="Tahoma"/>
      <w:sz w:val="16"/>
      <w:szCs w:val="16"/>
    </w:rPr>
  </w:style>
  <w:style w:type="paragraph" w:customStyle="1" w:styleId="ConsPlusNonformat">
    <w:name w:val="ConsPlusNonformat"/>
    <w:uiPriority w:val="99"/>
    <w:rsid w:val="00FD3F69"/>
    <w:pPr>
      <w:widowControl w:val="0"/>
      <w:autoSpaceDE w:val="0"/>
      <w:autoSpaceDN w:val="0"/>
      <w:adjustRightInd w:val="0"/>
    </w:pPr>
    <w:rPr>
      <w:rFonts w:ascii="Courier New" w:hAnsi="Courier New" w:cs="Courier New"/>
      <w:lang w:val="ru-RU" w:eastAsia="ru-RU"/>
    </w:rPr>
  </w:style>
  <w:style w:type="paragraph" w:customStyle="1" w:styleId="ConsPlusNormal">
    <w:name w:val="ConsPlusNormal"/>
    <w:uiPriority w:val="99"/>
    <w:rsid w:val="00B138D4"/>
    <w:pPr>
      <w:widowControl w:val="0"/>
      <w:autoSpaceDE w:val="0"/>
      <w:autoSpaceDN w:val="0"/>
      <w:adjustRightInd w:val="0"/>
      <w:ind w:firstLine="720"/>
    </w:pPr>
    <w:rPr>
      <w:rFonts w:ascii="Arial" w:hAnsi="Arial" w:cs="Arial"/>
      <w:lang w:val="ru-RU" w:eastAsia="ru-RU"/>
    </w:rPr>
  </w:style>
  <w:style w:type="table" w:styleId="ac">
    <w:name w:val="Table Grid"/>
    <w:basedOn w:val="a1"/>
    <w:uiPriority w:val="99"/>
    <w:locked/>
    <w:rsid w:val="00F20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114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AMS;n=107858;fld=134" TargetMode="External"/><Relationship Id="rId18" Type="http://schemas.openxmlformats.org/officeDocument/2006/relationships/hyperlink" Target="consultantplus://offline/main?base=RAPS003;n=12883;fld=13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main?base=RAPS018;n=9437;fld=134" TargetMode="External"/><Relationship Id="rId7" Type="http://schemas.openxmlformats.org/officeDocument/2006/relationships/hyperlink" Target="http://msk-legal.ru" TargetMode="External"/><Relationship Id="rId12" Type="http://schemas.openxmlformats.org/officeDocument/2006/relationships/hyperlink" Target="consultantplus://offline/main?base=AVS;n=52159;fld=134" TargetMode="External"/><Relationship Id="rId17" Type="http://schemas.openxmlformats.org/officeDocument/2006/relationships/hyperlink" Target="consultantplus://offline/main?base=RAPS018;n=10050;fld=134" TargetMode="External"/><Relationship Id="rId25" Type="http://schemas.openxmlformats.org/officeDocument/2006/relationships/hyperlink" Target="consultantplus://offline/main?base=RAPS003;n=8341;fld=13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95574;fld=134;dst=102032" TargetMode="External"/><Relationship Id="rId20" Type="http://schemas.openxmlformats.org/officeDocument/2006/relationships/hyperlink" Target="consultantplus://offline/main?base=APV;n=85075;fld=134"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AUR;n=96108;fld=134" TargetMode="External"/><Relationship Id="rId24" Type="http://schemas.openxmlformats.org/officeDocument/2006/relationships/hyperlink" Target="consultantplus://offline/main?base=APV;n=79652;fld=13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AMS;n=144392;fld=134" TargetMode="External"/><Relationship Id="rId23" Type="http://schemas.openxmlformats.org/officeDocument/2006/relationships/hyperlink" Target="consultantplus://offline/main?base=RAPS017;n=42134;fld=134" TargetMode="External"/><Relationship Id="rId28" Type="http://schemas.openxmlformats.org/officeDocument/2006/relationships/footer" Target="footer1.xml"/><Relationship Id="rId10" Type="http://schemas.openxmlformats.org/officeDocument/2006/relationships/hyperlink" Target="consultantplus://offline/main?base=AZS;n=78703;fld=134" TargetMode="External"/><Relationship Id="rId19" Type="http://schemas.openxmlformats.org/officeDocument/2006/relationships/hyperlink" Target="consultantplus://offline/main?base=MARB;n=195698;fld=134"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main?base=ARB;n=135223;fld=134" TargetMode="External"/><Relationship Id="rId14" Type="http://schemas.openxmlformats.org/officeDocument/2006/relationships/hyperlink" Target="consultantplus://offline/main?base=AZS;n=94547;fld=134" TargetMode="External"/><Relationship Id="rId22" Type="http://schemas.openxmlformats.org/officeDocument/2006/relationships/hyperlink" Target="consultantplus://offline/main?base=MARB;n=189981;fld=134"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consultantplus://offline/main?base=ARB;n=15488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“Научно-производственное объединение гидравлических машин”</vt:lpstr>
    </vt:vector>
  </TitlesOfParts>
  <Company>GM</Company>
  <LinksUpToDate>false</LinksUpToDate>
  <CharactersWithSpaces>7439</CharactersWithSpaces>
  <SharedDoc>false</SharedDoc>
  <HLinks>
    <vt:vector size="114" baseType="variant">
      <vt:variant>
        <vt:i4>5570575</vt:i4>
      </vt:variant>
      <vt:variant>
        <vt:i4>54</vt:i4>
      </vt:variant>
      <vt:variant>
        <vt:i4>0</vt:i4>
      </vt:variant>
      <vt:variant>
        <vt:i4>5</vt:i4>
      </vt:variant>
      <vt:variant>
        <vt:lpwstr>consultantplus://offline/main?base=RAPS003;n=8341;fld=134</vt:lpwstr>
      </vt:variant>
      <vt:variant>
        <vt:lpwstr/>
      </vt:variant>
      <vt:variant>
        <vt:i4>2228281</vt:i4>
      </vt:variant>
      <vt:variant>
        <vt:i4>51</vt:i4>
      </vt:variant>
      <vt:variant>
        <vt:i4>0</vt:i4>
      </vt:variant>
      <vt:variant>
        <vt:i4>5</vt:i4>
      </vt:variant>
      <vt:variant>
        <vt:lpwstr>consultantplus://offline/main?base=APV;n=79652;fld=134</vt:lpwstr>
      </vt:variant>
      <vt:variant>
        <vt:lpwstr/>
      </vt:variant>
      <vt:variant>
        <vt:i4>3276903</vt:i4>
      </vt:variant>
      <vt:variant>
        <vt:i4>48</vt:i4>
      </vt:variant>
      <vt:variant>
        <vt:i4>0</vt:i4>
      </vt:variant>
      <vt:variant>
        <vt:i4>5</vt:i4>
      </vt:variant>
      <vt:variant>
        <vt:lpwstr>consultantplus://offline/main?base=RAPS017;n=42134;fld=134</vt:lpwstr>
      </vt:variant>
      <vt:variant>
        <vt:lpwstr/>
      </vt:variant>
      <vt:variant>
        <vt:i4>4259870</vt:i4>
      </vt:variant>
      <vt:variant>
        <vt:i4>45</vt:i4>
      </vt:variant>
      <vt:variant>
        <vt:i4>0</vt:i4>
      </vt:variant>
      <vt:variant>
        <vt:i4>5</vt:i4>
      </vt:variant>
      <vt:variant>
        <vt:lpwstr>consultantplus://offline/main?base=MARB;n=189981;fld=134</vt:lpwstr>
      </vt:variant>
      <vt:variant>
        <vt:lpwstr/>
      </vt:variant>
      <vt:variant>
        <vt:i4>5767183</vt:i4>
      </vt:variant>
      <vt:variant>
        <vt:i4>42</vt:i4>
      </vt:variant>
      <vt:variant>
        <vt:i4>0</vt:i4>
      </vt:variant>
      <vt:variant>
        <vt:i4>5</vt:i4>
      </vt:variant>
      <vt:variant>
        <vt:lpwstr>consultantplus://offline/main?base=RAPS018;n=9437;fld=134</vt:lpwstr>
      </vt:variant>
      <vt:variant>
        <vt:lpwstr/>
      </vt:variant>
      <vt:variant>
        <vt:i4>2883639</vt:i4>
      </vt:variant>
      <vt:variant>
        <vt:i4>39</vt:i4>
      </vt:variant>
      <vt:variant>
        <vt:i4>0</vt:i4>
      </vt:variant>
      <vt:variant>
        <vt:i4>5</vt:i4>
      </vt:variant>
      <vt:variant>
        <vt:lpwstr>consultantplus://offline/main?base=APV;n=85075;fld=134</vt:lpwstr>
      </vt:variant>
      <vt:variant>
        <vt:lpwstr/>
      </vt:variant>
      <vt:variant>
        <vt:i4>4587539</vt:i4>
      </vt:variant>
      <vt:variant>
        <vt:i4>36</vt:i4>
      </vt:variant>
      <vt:variant>
        <vt:i4>0</vt:i4>
      </vt:variant>
      <vt:variant>
        <vt:i4>5</vt:i4>
      </vt:variant>
      <vt:variant>
        <vt:lpwstr>consultantplus://offline/main?base=MARB;n=195698;fld=134</vt:lpwstr>
      </vt:variant>
      <vt:variant>
        <vt:lpwstr/>
      </vt:variant>
      <vt:variant>
        <vt:i4>3997805</vt:i4>
      </vt:variant>
      <vt:variant>
        <vt:i4>33</vt:i4>
      </vt:variant>
      <vt:variant>
        <vt:i4>0</vt:i4>
      </vt:variant>
      <vt:variant>
        <vt:i4>5</vt:i4>
      </vt:variant>
      <vt:variant>
        <vt:lpwstr>consultantplus://offline/main?base=RAPS003;n=12883;fld=134</vt:lpwstr>
      </vt:variant>
      <vt:variant>
        <vt:lpwstr/>
      </vt:variant>
      <vt:variant>
        <vt:i4>3997795</vt:i4>
      </vt:variant>
      <vt:variant>
        <vt:i4>30</vt:i4>
      </vt:variant>
      <vt:variant>
        <vt:i4>0</vt:i4>
      </vt:variant>
      <vt:variant>
        <vt:i4>5</vt:i4>
      </vt:variant>
      <vt:variant>
        <vt:lpwstr>consultantplus://offline/main?base=RAPS018;n=10050;fld=134</vt:lpwstr>
      </vt:variant>
      <vt:variant>
        <vt:lpwstr/>
      </vt:variant>
      <vt:variant>
        <vt:i4>327763</vt:i4>
      </vt:variant>
      <vt:variant>
        <vt:i4>27</vt:i4>
      </vt:variant>
      <vt:variant>
        <vt:i4>0</vt:i4>
      </vt:variant>
      <vt:variant>
        <vt:i4>5</vt:i4>
      </vt:variant>
      <vt:variant>
        <vt:lpwstr>consultantplus://offline/main?base=LAW;n=95574;fld=134;dst=102032</vt:lpwstr>
      </vt:variant>
      <vt:variant>
        <vt:lpwstr/>
      </vt:variant>
      <vt:variant>
        <vt:i4>7733367</vt:i4>
      </vt:variant>
      <vt:variant>
        <vt:i4>24</vt:i4>
      </vt:variant>
      <vt:variant>
        <vt:i4>0</vt:i4>
      </vt:variant>
      <vt:variant>
        <vt:i4>5</vt:i4>
      </vt:variant>
      <vt:variant>
        <vt:lpwstr>consultantplus://offline/main?base=AMS;n=144392;fld=134</vt:lpwstr>
      </vt:variant>
      <vt:variant>
        <vt:lpwstr/>
      </vt:variant>
      <vt:variant>
        <vt:i4>3080255</vt:i4>
      </vt:variant>
      <vt:variant>
        <vt:i4>21</vt:i4>
      </vt:variant>
      <vt:variant>
        <vt:i4>0</vt:i4>
      </vt:variant>
      <vt:variant>
        <vt:i4>5</vt:i4>
      </vt:variant>
      <vt:variant>
        <vt:lpwstr>consultantplus://offline/main?base=AZS;n=94547;fld=134</vt:lpwstr>
      </vt:variant>
      <vt:variant>
        <vt:lpwstr/>
      </vt:variant>
      <vt:variant>
        <vt:i4>7929970</vt:i4>
      </vt:variant>
      <vt:variant>
        <vt:i4>18</vt:i4>
      </vt:variant>
      <vt:variant>
        <vt:i4>0</vt:i4>
      </vt:variant>
      <vt:variant>
        <vt:i4>5</vt:i4>
      </vt:variant>
      <vt:variant>
        <vt:lpwstr>consultantplus://offline/main?base=AMS;n=107858;fld=134</vt:lpwstr>
      </vt:variant>
      <vt:variant>
        <vt:lpwstr/>
      </vt:variant>
      <vt:variant>
        <vt:i4>2687028</vt:i4>
      </vt:variant>
      <vt:variant>
        <vt:i4>15</vt:i4>
      </vt:variant>
      <vt:variant>
        <vt:i4>0</vt:i4>
      </vt:variant>
      <vt:variant>
        <vt:i4>5</vt:i4>
      </vt:variant>
      <vt:variant>
        <vt:lpwstr>consultantplus://offline/main?base=AVS;n=52159;fld=134</vt:lpwstr>
      </vt:variant>
      <vt:variant>
        <vt:lpwstr/>
      </vt:variant>
      <vt:variant>
        <vt:i4>2424886</vt:i4>
      </vt:variant>
      <vt:variant>
        <vt:i4>12</vt:i4>
      </vt:variant>
      <vt:variant>
        <vt:i4>0</vt:i4>
      </vt:variant>
      <vt:variant>
        <vt:i4>5</vt:i4>
      </vt:variant>
      <vt:variant>
        <vt:lpwstr>consultantplus://offline/main?base=AUR;n=96108;fld=134</vt:lpwstr>
      </vt:variant>
      <vt:variant>
        <vt:lpwstr/>
      </vt:variant>
      <vt:variant>
        <vt:i4>2555959</vt:i4>
      </vt:variant>
      <vt:variant>
        <vt:i4>9</vt:i4>
      </vt:variant>
      <vt:variant>
        <vt:i4>0</vt:i4>
      </vt:variant>
      <vt:variant>
        <vt:i4>5</vt:i4>
      </vt:variant>
      <vt:variant>
        <vt:lpwstr>consultantplus://offline/main?base=AZS;n=78703;fld=134</vt:lpwstr>
      </vt:variant>
      <vt:variant>
        <vt:lpwstr/>
      </vt:variant>
      <vt:variant>
        <vt:i4>7143535</vt:i4>
      </vt:variant>
      <vt:variant>
        <vt:i4>6</vt:i4>
      </vt:variant>
      <vt:variant>
        <vt:i4>0</vt:i4>
      </vt:variant>
      <vt:variant>
        <vt:i4>5</vt:i4>
      </vt:variant>
      <vt:variant>
        <vt:lpwstr>consultantplus://offline/main?base=ARB;n=135223;fld=134</vt:lpwstr>
      </vt:variant>
      <vt:variant>
        <vt:lpwstr/>
      </vt:variant>
      <vt:variant>
        <vt:i4>6684773</vt:i4>
      </vt:variant>
      <vt:variant>
        <vt:i4>3</vt:i4>
      </vt:variant>
      <vt:variant>
        <vt:i4>0</vt:i4>
      </vt:variant>
      <vt:variant>
        <vt:i4>5</vt:i4>
      </vt:variant>
      <vt:variant>
        <vt:lpwstr>consultantplus://offline/main?base=ARB;n=154885;fld=134</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“Научно-производственное объединение гидравлических машин”</dc:title>
  <dc:subject/>
  <dc:creator>TkachenkoTB</dc:creator>
  <cp:keywords/>
  <cp:lastModifiedBy>Windows User</cp:lastModifiedBy>
  <cp:revision>2</cp:revision>
  <cp:lastPrinted>2012-02-13T04:26:00Z</cp:lastPrinted>
  <dcterms:created xsi:type="dcterms:W3CDTF">2021-07-03T07:28:00Z</dcterms:created>
  <dcterms:modified xsi:type="dcterms:W3CDTF">2021-07-03T07:28:00Z</dcterms:modified>
</cp:coreProperties>
</file>